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31FB36" w14:textId="77777777" w:rsidR="00FA65F7" w:rsidRDefault="00FA65F7">
      <w:pPr>
        <w:rPr>
          <w:rFonts w:ascii="Times New Roman" w:eastAsia="Times New Roman" w:hAnsi="Times New Roman" w:cs="Times New Roman"/>
        </w:rPr>
      </w:pPr>
    </w:p>
    <w:p w14:paraId="467EF84B" w14:textId="77777777" w:rsidR="00FA65F7" w:rsidRDefault="00FA65F7">
      <w:pPr>
        <w:rPr>
          <w:rFonts w:ascii="Times New Roman" w:eastAsia="Times New Roman" w:hAnsi="Times New Roman" w:cs="Times New Roman"/>
        </w:rPr>
      </w:pPr>
    </w:p>
    <w:p w14:paraId="10083F7F" w14:textId="77777777" w:rsidR="00FA65F7" w:rsidRDefault="00D62B5D">
      <w:pPr>
        <w:rPr>
          <w:rFonts w:ascii="Times New Roman" w:eastAsia="Times New Roman" w:hAnsi="Times New Roman" w:cs="Times New Roman"/>
        </w:rPr>
      </w:pPr>
      <w:r>
        <w:rPr>
          <w:rFonts w:ascii="Times New Roman" w:eastAsia="Times New Roman" w:hAnsi="Times New Roman" w:cs="Times New Roman"/>
        </w:rPr>
        <w:t>Bogotá D.C, julio de 2025</w:t>
      </w:r>
    </w:p>
    <w:p w14:paraId="2778B458" w14:textId="77777777" w:rsidR="00FA65F7" w:rsidRDefault="00FA65F7">
      <w:pPr>
        <w:rPr>
          <w:rFonts w:ascii="Times New Roman" w:eastAsia="Times New Roman" w:hAnsi="Times New Roman" w:cs="Times New Roman"/>
        </w:rPr>
      </w:pPr>
    </w:p>
    <w:p w14:paraId="5CAB5933" w14:textId="77777777" w:rsidR="00FA65F7" w:rsidRDefault="00D62B5D">
      <w:pPr>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Doctora:</w:t>
      </w:r>
    </w:p>
    <w:p w14:paraId="3489F370" w14:textId="77777777" w:rsidR="00FA65F7" w:rsidRDefault="00D62B5D">
      <w:pPr>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b/>
        </w:rPr>
        <w:t>LUZ ANGÉLICA VIZCAINO SOLANO. </w:t>
      </w:r>
    </w:p>
    <w:p w14:paraId="2B4CD778" w14:textId="77777777" w:rsidR="00FA65F7" w:rsidRDefault="00D62B5D">
      <w:pPr>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Secretaria General de Organismo de Control.</w:t>
      </w:r>
    </w:p>
    <w:p w14:paraId="3DF2F0E2" w14:textId="77777777" w:rsidR="00FA65F7" w:rsidRDefault="00D62B5D">
      <w:pPr>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Concejo de Bogotá D.C.</w:t>
      </w:r>
    </w:p>
    <w:p w14:paraId="2C0FE339" w14:textId="77777777" w:rsidR="00FA65F7" w:rsidRDefault="00D62B5D">
      <w:pPr>
        <w:pBdr>
          <w:top w:val="nil"/>
          <w:left w:val="nil"/>
          <w:bottom w:val="nil"/>
          <w:right w:val="nil"/>
          <w:between w:val="nil"/>
        </w:pBdr>
        <w:rPr>
          <w:rFonts w:ascii="Times New Roman" w:eastAsia="Times New Roman" w:hAnsi="Times New Roman" w:cs="Times New Roman"/>
        </w:rPr>
      </w:pPr>
      <w:r>
        <w:rPr>
          <w:rFonts w:ascii="Times New Roman" w:eastAsia="Times New Roman" w:hAnsi="Times New Roman" w:cs="Times New Roman"/>
        </w:rPr>
        <w:t>Ciudad.</w:t>
      </w:r>
    </w:p>
    <w:p w14:paraId="788CC25E" w14:textId="77777777" w:rsidR="00FA65F7" w:rsidRDefault="00FA65F7">
      <w:pPr>
        <w:rPr>
          <w:rFonts w:ascii="Times New Roman" w:eastAsia="Times New Roman" w:hAnsi="Times New Roman" w:cs="Times New Roman"/>
        </w:rPr>
      </w:pPr>
    </w:p>
    <w:p w14:paraId="4B0986FC" w14:textId="77777777" w:rsidR="00FA65F7" w:rsidRDefault="00FA65F7">
      <w:pPr>
        <w:rPr>
          <w:rFonts w:ascii="Times New Roman" w:eastAsia="Times New Roman" w:hAnsi="Times New Roman" w:cs="Times New Roman"/>
        </w:rPr>
      </w:pPr>
    </w:p>
    <w:p w14:paraId="478C4EAF" w14:textId="77777777" w:rsidR="00FA65F7" w:rsidRDefault="00FA65F7">
      <w:pPr>
        <w:rPr>
          <w:rFonts w:ascii="Times New Roman" w:eastAsia="Times New Roman" w:hAnsi="Times New Roman" w:cs="Times New Roman"/>
        </w:rPr>
      </w:pPr>
    </w:p>
    <w:p w14:paraId="6CB360F2" w14:textId="77777777" w:rsidR="00FA65F7" w:rsidRDefault="00FA65F7">
      <w:pPr>
        <w:rPr>
          <w:rFonts w:ascii="Times New Roman" w:eastAsia="Times New Roman" w:hAnsi="Times New Roman" w:cs="Times New Roman"/>
        </w:rPr>
      </w:pPr>
    </w:p>
    <w:p w14:paraId="389B07CB" w14:textId="77777777" w:rsidR="00FA65F7" w:rsidRDefault="00D62B5D">
      <w:pPr>
        <w:rPr>
          <w:rFonts w:ascii="Times New Roman" w:eastAsia="Times New Roman" w:hAnsi="Times New Roman" w:cs="Times New Roman"/>
        </w:rPr>
      </w:pPr>
      <w:r>
        <w:rPr>
          <w:rFonts w:ascii="Times New Roman" w:eastAsia="Times New Roman" w:hAnsi="Times New Roman" w:cs="Times New Roman"/>
        </w:rPr>
        <w:t>Asunto: Radicación Proyecto de Acuerdo</w:t>
      </w:r>
    </w:p>
    <w:p w14:paraId="2E86D588" w14:textId="77777777" w:rsidR="00FA65F7" w:rsidRDefault="00FA65F7">
      <w:pPr>
        <w:rPr>
          <w:rFonts w:ascii="Times New Roman" w:eastAsia="Times New Roman" w:hAnsi="Times New Roman" w:cs="Times New Roman"/>
        </w:rPr>
      </w:pPr>
    </w:p>
    <w:p w14:paraId="05BA93A2" w14:textId="77777777" w:rsidR="00FA65F7" w:rsidRDefault="00FA65F7">
      <w:pPr>
        <w:rPr>
          <w:rFonts w:ascii="Times New Roman" w:eastAsia="Times New Roman" w:hAnsi="Times New Roman" w:cs="Times New Roman"/>
        </w:rPr>
      </w:pPr>
    </w:p>
    <w:p w14:paraId="61BE5D6E" w14:textId="77777777" w:rsidR="00FA65F7" w:rsidRDefault="00FA65F7">
      <w:pPr>
        <w:rPr>
          <w:rFonts w:ascii="Times New Roman" w:eastAsia="Times New Roman" w:hAnsi="Times New Roman" w:cs="Times New Roman"/>
        </w:rPr>
      </w:pPr>
    </w:p>
    <w:p w14:paraId="5F132BE9" w14:textId="77777777" w:rsidR="00FA65F7" w:rsidRDefault="00D62B5D">
      <w:pPr>
        <w:jc w:val="both"/>
        <w:rPr>
          <w:rFonts w:ascii="Times New Roman" w:eastAsia="Times New Roman" w:hAnsi="Times New Roman" w:cs="Times New Roman"/>
        </w:rPr>
      </w:pPr>
      <w:r>
        <w:rPr>
          <w:rFonts w:ascii="Times New Roman" w:eastAsia="Times New Roman" w:hAnsi="Times New Roman" w:cs="Times New Roman"/>
        </w:rPr>
        <w:t>Apreciada Doctora Vizcano:</w:t>
      </w:r>
    </w:p>
    <w:p w14:paraId="7D887982" w14:textId="77777777" w:rsidR="00FA65F7" w:rsidRDefault="00FA65F7">
      <w:pPr>
        <w:jc w:val="both"/>
        <w:rPr>
          <w:rFonts w:ascii="Times New Roman" w:eastAsia="Times New Roman" w:hAnsi="Times New Roman" w:cs="Times New Roman"/>
        </w:rPr>
      </w:pPr>
    </w:p>
    <w:p w14:paraId="77AA77B2" w14:textId="47DAF6B2" w:rsidR="00FA65F7" w:rsidRDefault="00D62B5D">
      <w:pPr>
        <w:jc w:val="both"/>
        <w:rPr>
          <w:rFonts w:ascii="Times New Roman" w:eastAsia="Times New Roman" w:hAnsi="Times New Roman" w:cs="Times New Roman"/>
        </w:rPr>
      </w:pPr>
      <w:r>
        <w:rPr>
          <w:rFonts w:ascii="Times New Roman" w:eastAsia="Times New Roman" w:hAnsi="Times New Roman" w:cs="Times New Roman"/>
        </w:rPr>
        <w:t>Por medio de la presente y de conformidad con lo dispuesto en los artículos 65, 66 y 67 del Acuerdo 741 de 2019, modificado por el Acuerdo</w:t>
      </w:r>
      <w:r w:rsidR="006D74E6">
        <w:rPr>
          <w:rFonts w:ascii="Times New Roman" w:eastAsia="Times New Roman" w:hAnsi="Times New Roman" w:cs="Times New Roman"/>
        </w:rPr>
        <w:t xml:space="preserve"> 977</w:t>
      </w:r>
      <w:r>
        <w:rPr>
          <w:rFonts w:ascii="Times New Roman" w:eastAsia="Times New Roman" w:hAnsi="Times New Roman" w:cs="Times New Roman"/>
        </w:rPr>
        <w:t xml:space="preserve"> de 2025, nos permitimos radicar ante su despacho el Proyecto de Acuerdo </w:t>
      </w:r>
      <w:r>
        <w:rPr>
          <w:rFonts w:ascii="Times New Roman" w:eastAsia="Times New Roman" w:hAnsi="Times New Roman" w:cs="Times New Roman"/>
          <w:b/>
        </w:rPr>
        <w:t>"POR MEDIO DEL CUAL SE ESTABLECE EL DÍA DISTRITAL CONTRA LA VIOLENCIA VICARIA Y SE IMPLEMENTAN ACCIONES PARA SU PREVENCIÓN, SENSIBILIZACIÓN Y ATENCIÓN EN EL DISTRITO CAPITAL"</w:t>
      </w:r>
    </w:p>
    <w:p w14:paraId="61BED116" w14:textId="77777777" w:rsidR="00FA65F7" w:rsidRDefault="00FA65F7">
      <w:pPr>
        <w:rPr>
          <w:rFonts w:ascii="Times New Roman" w:eastAsia="Times New Roman" w:hAnsi="Times New Roman" w:cs="Times New Roman"/>
        </w:rPr>
      </w:pPr>
    </w:p>
    <w:p w14:paraId="706828B5" w14:textId="77777777" w:rsidR="00FA65F7" w:rsidRDefault="00FA65F7">
      <w:pPr>
        <w:rPr>
          <w:rFonts w:ascii="Times New Roman" w:eastAsia="Times New Roman" w:hAnsi="Times New Roman" w:cs="Times New Roman"/>
        </w:rPr>
      </w:pPr>
    </w:p>
    <w:p w14:paraId="66EEA149" w14:textId="77777777" w:rsidR="00FA65F7" w:rsidRDefault="00FA65F7">
      <w:pPr>
        <w:rPr>
          <w:rFonts w:ascii="Times New Roman" w:eastAsia="Times New Roman" w:hAnsi="Times New Roman" w:cs="Times New Roman"/>
        </w:rPr>
      </w:pPr>
    </w:p>
    <w:p w14:paraId="6BAE5F55" w14:textId="77777777" w:rsidR="00FA65F7" w:rsidRDefault="00D62B5D">
      <w:pPr>
        <w:rPr>
          <w:rFonts w:ascii="Times New Roman" w:eastAsia="Times New Roman" w:hAnsi="Times New Roman" w:cs="Times New Roman"/>
        </w:rPr>
      </w:pPr>
      <w:r>
        <w:rPr>
          <w:rFonts w:ascii="Times New Roman" w:eastAsia="Times New Roman" w:hAnsi="Times New Roman" w:cs="Times New Roman"/>
        </w:rPr>
        <w:t>Cordialmente,</w:t>
      </w:r>
    </w:p>
    <w:p w14:paraId="1B8C3CB6" w14:textId="77777777" w:rsidR="00FA65F7" w:rsidRDefault="00FA65F7">
      <w:pPr>
        <w:rPr>
          <w:rFonts w:ascii="Times New Roman" w:eastAsia="Times New Roman" w:hAnsi="Times New Roman" w:cs="Times New Roman"/>
        </w:rPr>
      </w:pPr>
    </w:p>
    <w:p w14:paraId="6E01DD45" w14:textId="77777777" w:rsidR="00FA65F7" w:rsidRDefault="00FA65F7">
      <w:pPr>
        <w:rPr>
          <w:rFonts w:ascii="Times New Roman" w:eastAsia="Times New Roman" w:hAnsi="Times New Roman" w:cs="Times New Roman"/>
        </w:rPr>
      </w:pPr>
    </w:p>
    <w:p w14:paraId="58928106" w14:textId="77777777" w:rsidR="00FA65F7" w:rsidRDefault="00FA65F7">
      <w:pPr>
        <w:rPr>
          <w:rFonts w:ascii="Times New Roman" w:eastAsia="Times New Roman" w:hAnsi="Times New Roman" w:cs="Times New Roman"/>
        </w:rPr>
      </w:pPr>
    </w:p>
    <w:p w14:paraId="076C9ED2" w14:textId="77777777" w:rsidR="00FA65F7" w:rsidRDefault="00D62B5D">
      <w:pPr>
        <w:rPr>
          <w:rFonts w:ascii="Times New Roman" w:eastAsia="Times New Roman" w:hAnsi="Times New Roman" w:cs="Times New Roman"/>
          <w:b/>
        </w:rPr>
      </w:pPr>
      <w:r>
        <w:rPr>
          <w:rFonts w:ascii="Times New Roman" w:eastAsia="Times New Roman" w:hAnsi="Times New Roman" w:cs="Times New Roman"/>
          <w:b/>
        </w:rPr>
        <w:t>JULIÁN FELIPE TRIANA VARGAS                          EMEL ROJAS CASTILLO</w:t>
      </w:r>
    </w:p>
    <w:p w14:paraId="6D159762" w14:textId="77777777" w:rsidR="00FA65F7" w:rsidRDefault="00D62B5D">
      <w:pPr>
        <w:rPr>
          <w:rFonts w:ascii="Times New Roman" w:eastAsia="Times New Roman" w:hAnsi="Times New Roman" w:cs="Times New Roman"/>
        </w:rPr>
      </w:pPr>
      <w:r>
        <w:rPr>
          <w:rFonts w:ascii="Times New Roman" w:eastAsia="Times New Roman" w:hAnsi="Times New Roman" w:cs="Times New Roman"/>
        </w:rPr>
        <w:t>Concejal de Bogotá D.C.                                                  Concejal de Bogotá D.C.</w:t>
      </w:r>
    </w:p>
    <w:p w14:paraId="705D742C" w14:textId="77777777" w:rsidR="00FA65F7" w:rsidRDefault="00D62B5D">
      <w:pPr>
        <w:rPr>
          <w:rFonts w:ascii="Times New Roman" w:eastAsia="Times New Roman" w:hAnsi="Times New Roman" w:cs="Times New Roman"/>
        </w:rPr>
      </w:pPr>
      <w:r>
        <w:rPr>
          <w:rFonts w:ascii="Times New Roman" w:eastAsia="Times New Roman" w:hAnsi="Times New Roman" w:cs="Times New Roman"/>
        </w:rPr>
        <w:t>Partido Alianza Verde.                                                      Partido Nueva Fuerza Democrática</w:t>
      </w:r>
    </w:p>
    <w:p w14:paraId="4C3EB9A4" w14:textId="77777777" w:rsidR="00FA65F7" w:rsidRDefault="00FA65F7">
      <w:pPr>
        <w:rPr>
          <w:rFonts w:ascii="Times New Roman" w:eastAsia="Times New Roman" w:hAnsi="Times New Roman" w:cs="Times New Roman"/>
        </w:rPr>
      </w:pPr>
    </w:p>
    <w:p w14:paraId="1D649395" w14:textId="77777777" w:rsidR="00FA65F7" w:rsidRDefault="00FA65F7">
      <w:pPr>
        <w:rPr>
          <w:rFonts w:ascii="Times New Roman" w:eastAsia="Times New Roman" w:hAnsi="Times New Roman" w:cs="Times New Roman"/>
        </w:rPr>
      </w:pPr>
    </w:p>
    <w:p w14:paraId="367E8E26" w14:textId="77777777" w:rsidR="00FA65F7" w:rsidRDefault="00FA65F7">
      <w:pPr>
        <w:jc w:val="center"/>
        <w:rPr>
          <w:rFonts w:ascii="Times New Roman" w:eastAsia="Times New Roman" w:hAnsi="Times New Roman" w:cs="Times New Roman"/>
          <w:b/>
        </w:rPr>
      </w:pPr>
    </w:p>
    <w:p w14:paraId="30202B89" w14:textId="77777777" w:rsidR="00FA65F7" w:rsidRDefault="00FA65F7">
      <w:pPr>
        <w:rPr>
          <w:rFonts w:ascii="Times New Roman" w:eastAsia="Times New Roman" w:hAnsi="Times New Roman" w:cs="Times New Roman"/>
          <w:b/>
        </w:rPr>
      </w:pPr>
    </w:p>
    <w:p w14:paraId="5D32F78A" w14:textId="77777777" w:rsidR="00FA65F7" w:rsidRDefault="00FA65F7">
      <w:pPr>
        <w:jc w:val="center"/>
        <w:rPr>
          <w:rFonts w:ascii="Times New Roman" w:eastAsia="Times New Roman" w:hAnsi="Times New Roman" w:cs="Times New Roman"/>
          <w:b/>
        </w:rPr>
      </w:pPr>
    </w:p>
    <w:p w14:paraId="074F61FF" w14:textId="36D55666" w:rsidR="00FA65F7" w:rsidRDefault="00D62B5D">
      <w:pPr>
        <w:jc w:val="center"/>
        <w:rPr>
          <w:rFonts w:ascii="Times New Roman" w:eastAsia="Times New Roman" w:hAnsi="Times New Roman" w:cs="Times New Roman"/>
          <w:b/>
        </w:rPr>
      </w:pPr>
      <w:r>
        <w:rPr>
          <w:rFonts w:ascii="Times New Roman" w:eastAsia="Times New Roman" w:hAnsi="Times New Roman" w:cs="Times New Roman"/>
          <w:b/>
        </w:rPr>
        <w:t>PROYECTO DE ACUERDO No.</w:t>
      </w:r>
      <w:r w:rsidR="00A06F99">
        <w:rPr>
          <w:rFonts w:ascii="Times New Roman" w:eastAsia="Times New Roman" w:hAnsi="Times New Roman" w:cs="Times New Roman"/>
          <w:b/>
        </w:rPr>
        <w:t xml:space="preserve"> 98</w:t>
      </w:r>
      <w:bookmarkStart w:id="0" w:name="_GoBack"/>
      <w:bookmarkEnd w:id="0"/>
      <w:r w:rsidR="003F3EF7">
        <w:rPr>
          <w:rFonts w:ascii="Times New Roman" w:eastAsia="Times New Roman" w:hAnsi="Times New Roman" w:cs="Times New Roman"/>
          <w:b/>
        </w:rPr>
        <w:t>4</w:t>
      </w:r>
      <w:r>
        <w:rPr>
          <w:rFonts w:ascii="Times New Roman" w:eastAsia="Times New Roman" w:hAnsi="Times New Roman" w:cs="Times New Roman"/>
          <w:b/>
        </w:rPr>
        <w:t xml:space="preserve"> DE  2025</w:t>
      </w:r>
    </w:p>
    <w:p w14:paraId="0B6F2697" w14:textId="77777777" w:rsidR="00FA65F7" w:rsidRDefault="00FA65F7">
      <w:pPr>
        <w:jc w:val="both"/>
        <w:rPr>
          <w:rFonts w:ascii="Times New Roman" w:eastAsia="Times New Roman" w:hAnsi="Times New Roman" w:cs="Times New Roman"/>
          <w:b/>
        </w:rPr>
      </w:pPr>
    </w:p>
    <w:p w14:paraId="4228361D" w14:textId="4504BAB2" w:rsidR="00FA65F7" w:rsidRPr="00C302D4" w:rsidRDefault="00C302D4">
      <w:pPr>
        <w:spacing w:before="240" w:after="240"/>
        <w:jc w:val="center"/>
        <w:rPr>
          <w:rFonts w:ascii="Times New Roman" w:eastAsia="Times New Roman" w:hAnsi="Times New Roman" w:cs="Times New Roman"/>
          <w:b/>
          <w:sz w:val="28"/>
          <w:szCs w:val="28"/>
        </w:rPr>
      </w:pPr>
      <w:r w:rsidRPr="00C302D4">
        <w:rPr>
          <w:rFonts w:ascii="Times New Roman" w:eastAsia="Times New Roman" w:hAnsi="Times New Roman" w:cs="Times New Roman"/>
          <w:b/>
          <w:sz w:val="28"/>
          <w:szCs w:val="28"/>
        </w:rPr>
        <w:t>"POR MEDIO DEL CUAL SE ESTABLECE EL DÍA DISTRITAL CONTRA LA VIOLENCIA VICARIA Y SE IMPLEMENTAN ACCIONES PARA SU PREVENCIÓN, SENSIBILIZACIÓN Y ATENCIÓN EN EL DISTRITO CAPITAL"</w:t>
      </w:r>
    </w:p>
    <w:p w14:paraId="1BB0C669" w14:textId="77777777" w:rsidR="00FA65F7" w:rsidRDefault="00FA65F7">
      <w:pPr>
        <w:jc w:val="both"/>
        <w:rPr>
          <w:rFonts w:ascii="Times New Roman" w:eastAsia="Times New Roman" w:hAnsi="Times New Roman" w:cs="Times New Roman"/>
          <w:b/>
        </w:rPr>
      </w:pPr>
    </w:p>
    <w:p w14:paraId="67B875BF" w14:textId="77777777" w:rsidR="00FA65F7" w:rsidRDefault="00D62B5D">
      <w:pPr>
        <w:jc w:val="center"/>
        <w:rPr>
          <w:rFonts w:ascii="Times New Roman" w:eastAsia="Times New Roman" w:hAnsi="Times New Roman" w:cs="Times New Roman"/>
          <w:b/>
        </w:rPr>
      </w:pPr>
      <w:r>
        <w:rPr>
          <w:rFonts w:ascii="Times New Roman" w:eastAsia="Times New Roman" w:hAnsi="Times New Roman" w:cs="Times New Roman"/>
          <w:b/>
        </w:rPr>
        <w:t xml:space="preserve">EXPOSICIÓN DE MOTIVOS </w:t>
      </w:r>
    </w:p>
    <w:p w14:paraId="2A8A04CB" w14:textId="77777777" w:rsidR="00FA65F7" w:rsidRDefault="00FA65F7">
      <w:pPr>
        <w:jc w:val="both"/>
        <w:rPr>
          <w:rFonts w:ascii="Times New Roman" w:eastAsia="Times New Roman" w:hAnsi="Times New Roman" w:cs="Times New Roman"/>
          <w:b/>
        </w:rPr>
      </w:pPr>
    </w:p>
    <w:p w14:paraId="0BE6A283" w14:textId="77777777" w:rsidR="00FA65F7" w:rsidRDefault="00FA65F7">
      <w:pPr>
        <w:jc w:val="both"/>
        <w:rPr>
          <w:rFonts w:ascii="Times New Roman" w:eastAsia="Times New Roman" w:hAnsi="Times New Roman" w:cs="Times New Roman"/>
          <w:b/>
        </w:rPr>
      </w:pPr>
    </w:p>
    <w:p w14:paraId="29F52900" w14:textId="77777777" w:rsidR="00FA65F7" w:rsidRDefault="00D62B5D">
      <w:pPr>
        <w:numPr>
          <w:ilvl w:val="0"/>
          <w:numId w:val="2"/>
        </w:numPr>
        <w:pBdr>
          <w:top w:val="nil"/>
          <w:left w:val="nil"/>
          <w:bottom w:val="nil"/>
          <w:right w:val="nil"/>
          <w:between w:val="nil"/>
        </w:pBdr>
        <w:jc w:val="both"/>
        <w:rPr>
          <w:rFonts w:ascii="Times New Roman" w:eastAsia="Times New Roman" w:hAnsi="Times New Roman" w:cs="Times New Roman"/>
          <w:b/>
        </w:rPr>
      </w:pPr>
      <w:r>
        <w:rPr>
          <w:rFonts w:ascii="Times New Roman" w:eastAsia="Times New Roman" w:hAnsi="Times New Roman" w:cs="Times New Roman"/>
          <w:b/>
        </w:rPr>
        <w:t>OBJETO</w:t>
      </w:r>
    </w:p>
    <w:p w14:paraId="3D329B53"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El presente Proyecto de Acuerdo tiene como objeto establecer medidas encaminadas a la visibilización, prevención y atención de una forma de violencia de género, conocida como violencia vicaria, que afecta mayoritariamente a las mujeres y a sus hijos e hijas, que son utilizados para controlar, castigar y someter a las víctimas. Estas medidas van desde la sensibilización ciudadana, la capacitación institucional y el fortalecimiento de los mecanismos de atención, con la inclusión del enfoque de género y de derechos humanos. </w:t>
      </w:r>
    </w:p>
    <w:p w14:paraId="597D8D14" w14:textId="77777777" w:rsidR="00FA65F7" w:rsidRDefault="00D62B5D">
      <w:pPr>
        <w:spacing w:before="240" w:after="240" w:line="276" w:lineRule="auto"/>
        <w:jc w:val="both"/>
        <w:rPr>
          <w:rFonts w:ascii="Times New Roman" w:eastAsia="Times New Roman" w:hAnsi="Times New Roman" w:cs="Times New Roman"/>
          <w:b/>
        </w:rPr>
      </w:pPr>
      <w:r>
        <w:rPr>
          <w:rFonts w:ascii="Times New Roman" w:eastAsia="Times New Roman" w:hAnsi="Times New Roman" w:cs="Times New Roman"/>
          <w:b/>
        </w:rPr>
        <w:t>II. SUSTENTO JURÍDICO DE LA INICIATIVA</w:t>
      </w:r>
    </w:p>
    <w:p w14:paraId="409A0E82"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La violencia vicaria constituye una grave vulneración de derechos humanos, especialmente los de las mujeres, niños, niñas y adolescentes. Esta forma de violencia ha sido reconocida por organizaciones internacionales y expertas/os como una manifestación extrema de violencia basada en género, que se vale de los vínculos afectivos y familiares para ejercer control y castigo.</w:t>
      </w:r>
    </w:p>
    <w:p w14:paraId="712B6DAF"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Desde un enfoque jurídico, esta iniciativa se ampara en:</w:t>
      </w:r>
    </w:p>
    <w:p w14:paraId="2A1BD853" w14:textId="77777777" w:rsidR="00FA65F7" w:rsidRDefault="00FA65F7">
      <w:pPr>
        <w:spacing w:before="240" w:after="240" w:line="276" w:lineRule="auto"/>
        <w:jc w:val="both"/>
        <w:rPr>
          <w:rFonts w:ascii="Times New Roman" w:eastAsia="Times New Roman" w:hAnsi="Times New Roman" w:cs="Times New Roman"/>
        </w:rPr>
      </w:pPr>
    </w:p>
    <w:p w14:paraId="0946A479" w14:textId="77777777" w:rsidR="00FA65F7" w:rsidRDefault="00D62B5D">
      <w:pPr>
        <w:spacing w:before="240" w:after="240" w:line="276" w:lineRule="auto"/>
        <w:jc w:val="both"/>
        <w:rPr>
          <w:rFonts w:ascii="Times New Roman" w:eastAsia="Times New Roman" w:hAnsi="Times New Roman" w:cs="Times New Roman"/>
          <w:sz w:val="27"/>
          <w:szCs w:val="27"/>
          <w:highlight w:val="white"/>
        </w:rPr>
      </w:pPr>
      <w:r>
        <w:rPr>
          <w:rFonts w:ascii="Times New Roman" w:eastAsia="Times New Roman" w:hAnsi="Times New Roman" w:cs="Times New Roman"/>
        </w:rPr>
        <w:t>La Constitución Política de Colombia, que en sus artículos 1, 5, 13, 42, 43, 44 y 93 consagra los principios fundamentales de dignidad humana, igualdad, protección de la familia, y garantía de los derechos de la niñez.</w:t>
      </w:r>
    </w:p>
    <w:p w14:paraId="762071E6"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Ley 1098 de 2006 Código de Infancia y Adolescencia. Este Código tiene por finalidad garantizar a los niños, a las niñas y a los adolescentes su pleno y armonioso desarrollo para que crezcan en el seno de la familia y de la comunidad, en un ambiente de felicidad, amor y comprensión. Prevalecerá el reconocimiento a la igualdad y la dignidad humana, sin discriminación alguna.</w:t>
      </w:r>
    </w:p>
    <w:p w14:paraId="55BE6A62"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La Ley 1257 de 2008 reconoce y sanciona la violencia contra las mujeres en Colombia. Esta ley establece normas de sensibilización, prevención y sanción de la violencia y discriminación contra las mujeres.</w:t>
      </w:r>
    </w:p>
    <w:p w14:paraId="050405C0" w14:textId="7084B614"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Ley 1542 de 2012, eliminó el carácter querellable del delito de violencia intrafamiliar, permitiendo que sea investigado de oficio por la Fiscalía</w:t>
      </w:r>
      <w:r w:rsidR="006D74E6">
        <w:rPr>
          <w:rFonts w:ascii="Times New Roman" w:eastAsia="Times New Roman" w:hAnsi="Times New Roman" w:cs="Times New Roman"/>
        </w:rPr>
        <w:t xml:space="preserve"> </w:t>
      </w:r>
      <w:r>
        <w:rPr>
          <w:rFonts w:ascii="Times New Roman" w:eastAsia="Times New Roman" w:hAnsi="Times New Roman" w:cs="Times New Roman"/>
        </w:rPr>
        <w:t>General de la Nación, lo cual significó un avance ya que muchas víctimas por diferentes causas como el temor, retiraban la denuncia.</w:t>
      </w:r>
    </w:p>
    <w:p w14:paraId="065D498E"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Ley 1761 de 2015 creó el tipo penal de feminicidio como delito autónomo en Colombia. Esta ley tiene como objetivo principal la investigación y sanción de las violencias contra las mujeres motivadas por su género, así como la prevención y erradicación de estas violencias.</w:t>
      </w:r>
    </w:p>
    <w:p w14:paraId="43DB85E8"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El Decreto 2733 de 2012, que reglamenta las Comisarías de Familia como órganos fundamentales en la atención de violencia intrafamiliar y en la protección de derechos.</w:t>
      </w:r>
    </w:p>
    <w:p w14:paraId="57ACED65"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A nivel internacional, los siguientes instrumentos respaldan la presente iniciativa:</w:t>
      </w:r>
    </w:p>
    <w:p w14:paraId="201C2CE9" w14:textId="77777777" w:rsidR="00FA65F7" w:rsidRDefault="00D62B5D">
      <w:pPr>
        <w:spacing w:before="240" w:after="240" w:line="276" w:lineRule="auto"/>
        <w:jc w:val="both"/>
        <w:rPr>
          <w:rFonts w:ascii="Times New Roman" w:eastAsia="Times New Roman" w:hAnsi="Times New Roman" w:cs="Times New Roman"/>
          <w:b/>
        </w:rPr>
      </w:pPr>
      <w:r>
        <w:rPr>
          <w:rFonts w:ascii="Times New Roman" w:eastAsia="Times New Roman" w:hAnsi="Times New Roman" w:cs="Times New Roman"/>
          <w:b/>
        </w:rPr>
        <w:t>Convención sobre la Eliminación de Todas las Formas de Discriminación contra la Mujer de 1979 “CEDAW”</w:t>
      </w:r>
    </w:p>
    <w:p w14:paraId="73F3ABBA" w14:textId="77777777" w:rsidR="00FA65F7" w:rsidRDefault="00D62B5D">
      <w:pPr>
        <w:spacing w:before="240" w:after="240" w:line="276" w:lineRule="auto"/>
        <w:jc w:val="both"/>
        <w:rPr>
          <w:highlight w:val="white"/>
        </w:rPr>
      </w:pPr>
      <w:r>
        <w:rPr>
          <w:rFonts w:ascii="Times New Roman" w:eastAsia="Times New Roman" w:hAnsi="Times New Roman" w:cs="Times New Roman"/>
          <w:highlight w:val="white"/>
        </w:rPr>
        <w:t xml:space="preserve"> La CEDAW define la discriminación hacia la mujer y establece acciones para su eliminación, como la promoción de cambios estructurales en todos los niveles: desde conductas, percepciones y actitudes individuales, hasta las prácticas institucionales y las estructuras del poder social y económico.</w:t>
      </w:r>
    </w:p>
    <w:p w14:paraId="660FEA8A"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b/>
        </w:rPr>
        <w:t>La Convención sobre los Derechos del Niño de 1898</w:t>
      </w:r>
      <w:r>
        <w:rPr>
          <w:rFonts w:ascii="Times New Roman" w:eastAsia="Times New Roman" w:hAnsi="Times New Roman" w:cs="Times New Roman"/>
        </w:rPr>
        <w:t xml:space="preserve"> La cual establece los derechos que deben hacerse realidad en todas las esferas de la vida de los niños.</w:t>
      </w:r>
    </w:p>
    <w:p w14:paraId="0BA5A699"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b/>
        </w:rPr>
        <w:t>Declaration on the Elimination of Violence against Women Proclaimed by General Assembly resolution 48/104 of 20 December 1993</w:t>
      </w:r>
      <w:r>
        <w:rPr>
          <w:b/>
        </w:rPr>
        <w:t xml:space="preserve"> </w:t>
      </w:r>
      <w:r>
        <w:rPr>
          <w:rFonts w:ascii="Times New Roman" w:eastAsia="Times New Roman" w:hAnsi="Times New Roman" w:cs="Times New Roman"/>
        </w:rPr>
        <w:t>La declaración sobre la eliminación de la violencia contra la mujer, como instrumento universal, proclama solemnemente la siguiente Declaración sobre la eliminación de la violencia contra la mujer e insta a que se hagan todos los esfuerzos posibles para que sea universalmente conocida y respetada:</w:t>
      </w:r>
    </w:p>
    <w:p w14:paraId="6CF4F5B9" w14:textId="77777777" w:rsidR="00FA65F7" w:rsidRDefault="00D62B5D">
      <w:pPr>
        <w:spacing w:before="240" w:after="240" w:line="276" w:lineRule="auto"/>
        <w:jc w:val="both"/>
        <w:rPr>
          <w:i/>
        </w:rPr>
      </w:pPr>
      <w:r>
        <w:rPr>
          <w:rFonts w:ascii="Times New Roman" w:eastAsia="Times New Roman" w:hAnsi="Times New Roman" w:cs="Times New Roman"/>
          <w:b/>
          <w:i/>
        </w:rPr>
        <w:t xml:space="preserve">“ Artículo 1. </w:t>
      </w:r>
      <w:r>
        <w:rPr>
          <w:rFonts w:ascii="Times New Roman" w:eastAsia="Times New Roman" w:hAnsi="Times New Roman" w:cs="Times New Roman"/>
          <w:i/>
        </w:rPr>
        <w:t>A los efectos de la presente Declaración, por "violencia contra la mujer" se entiende todo acto de violencia basado en la pertenencia al sexo femenino que tenga o pueda tener como resultado un daño o sufrimiento físico, sexual o sicológico para la mujer, así como las amenazas de tales actos, la coacción o la privación arbitraria de la libertad, tanto si se producen en la vida pública como en la vida privada.”</w:t>
      </w:r>
    </w:p>
    <w:p w14:paraId="0C83B89D" w14:textId="4F7EB5E9"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La Convención Interamericana para Prevenir, Sancionar y Erradicar la Violencia contra la Mujer </w:t>
      </w:r>
      <w:r>
        <w:rPr>
          <w:rFonts w:ascii="Times New Roman" w:eastAsia="Times New Roman" w:hAnsi="Times New Roman" w:cs="Times New Roman"/>
          <w:b/>
        </w:rPr>
        <w:t>(Convención de Belém do Pará)</w:t>
      </w:r>
      <w:r>
        <w:rPr>
          <w:rFonts w:ascii="Times New Roman" w:eastAsia="Times New Roman" w:hAnsi="Times New Roman" w:cs="Times New Roman"/>
        </w:rPr>
        <w:t>.</w:t>
      </w:r>
      <w:r w:rsidR="006D74E6">
        <w:rPr>
          <w:rFonts w:ascii="Times New Roman" w:eastAsia="Times New Roman" w:hAnsi="Times New Roman" w:cs="Times New Roman"/>
        </w:rPr>
        <w:t xml:space="preserve"> </w:t>
      </w:r>
      <w:r>
        <w:rPr>
          <w:rFonts w:ascii="Times New Roman" w:eastAsia="Times New Roman" w:hAnsi="Times New Roman" w:cs="Times New Roman"/>
        </w:rPr>
        <w:t>Es</w:t>
      </w:r>
      <w:r>
        <w:rPr>
          <w:color w:val="001D35"/>
          <w:sz w:val="27"/>
          <w:szCs w:val="27"/>
          <w:highlight w:val="white"/>
        </w:rPr>
        <w:t xml:space="preserve"> </w:t>
      </w:r>
      <w:r>
        <w:rPr>
          <w:rFonts w:ascii="Times New Roman" w:eastAsia="Times New Roman" w:hAnsi="Times New Roman" w:cs="Times New Roman"/>
        </w:rPr>
        <w:t>un instrumento fundamental para la protección de los derechos de las mujeres en América Latina y el Caribe, y ha sido fundamental para la creación de leyes y políticas públicas que buscan prevenir, sancionar y erradicar la violencia contra la mujer.</w:t>
      </w:r>
    </w:p>
    <w:p w14:paraId="344E22FF" w14:textId="77777777" w:rsidR="00FA65F7" w:rsidRDefault="00D62B5D">
      <w:pPr>
        <w:spacing w:before="240" w:after="240" w:line="276" w:lineRule="auto"/>
        <w:jc w:val="both"/>
        <w:rPr>
          <w:rFonts w:ascii="Times New Roman" w:eastAsia="Times New Roman" w:hAnsi="Times New Roman" w:cs="Times New Roman"/>
          <w:b/>
        </w:rPr>
      </w:pPr>
      <w:r>
        <w:rPr>
          <w:rFonts w:ascii="Times New Roman" w:eastAsia="Times New Roman" w:hAnsi="Times New Roman" w:cs="Times New Roman"/>
          <w:b/>
        </w:rPr>
        <w:t>III. JUSTIFICACIÓN Y ANÁLISIS DE CONVENIENCIA DE LA INICIATIVA</w:t>
      </w:r>
    </w:p>
    <w:p w14:paraId="34A160D0" w14:textId="14B16C15"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Las mujeres históricamente han sido víctimas de violencia como resultado de estructuras sociales, culturales y legales que han perpetuado la desigualdad de género. Esta violencia no solo se manifiesta en el ámbito físico, sino también en formas psicológicas, económicas, simbólicas y estructurales, lastimosamente a lo largo de la historia, la normalización del machismo, la falta de acceso equitativo a la justicia y la ausencia de políticas públicas con enfoque de género han permitido que la violencia contra las mujeres continúe de forma </w:t>
      </w:r>
      <w:r w:rsidR="006D74E6">
        <w:rPr>
          <w:rFonts w:ascii="Times New Roman" w:eastAsia="Times New Roman" w:hAnsi="Times New Roman" w:cs="Times New Roman"/>
        </w:rPr>
        <w:t>sistemática, y</w:t>
      </w:r>
      <w:r>
        <w:rPr>
          <w:rFonts w:ascii="Times New Roman" w:eastAsia="Times New Roman" w:hAnsi="Times New Roman" w:cs="Times New Roman"/>
        </w:rPr>
        <w:t xml:space="preserve"> </w:t>
      </w:r>
      <w:r w:rsidR="006D74E6">
        <w:rPr>
          <w:rFonts w:ascii="Times New Roman" w:eastAsia="Times New Roman" w:hAnsi="Times New Roman" w:cs="Times New Roman"/>
        </w:rPr>
        <w:t>perpetuándose</w:t>
      </w:r>
      <w:r>
        <w:rPr>
          <w:rFonts w:ascii="Times New Roman" w:eastAsia="Times New Roman" w:hAnsi="Times New Roman" w:cs="Times New Roman"/>
        </w:rPr>
        <w:t xml:space="preserve"> </w:t>
      </w:r>
      <w:r w:rsidR="006D74E6">
        <w:rPr>
          <w:rFonts w:ascii="Times New Roman" w:eastAsia="Times New Roman" w:hAnsi="Times New Roman" w:cs="Times New Roman"/>
        </w:rPr>
        <w:t>sistemáticamente</w:t>
      </w:r>
      <w:r>
        <w:rPr>
          <w:rFonts w:ascii="Times New Roman" w:eastAsia="Times New Roman" w:hAnsi="Times New Roman" w:cs="Times New Roman"/>
        </w:rPr>
        <w:t>.</w:t>
      </w:r>
    </w:p>
    <w:p w14:paraId="2E0BCCAD" w14:textId="2883BF06"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Es menester, reconocer que este patrón histórico no es solo un ejercicio de memoria, </w:t>
      </w:r>
      <w:r w:rsidR="006D74E6">
        <w:rPr>
          <w:rFonts w:ascii="Times New Roman" w:eastAsia="Times New Roman" w:hAnsi="Times New Roman" w:cs="Times New Roman"/>
        </w:rPr>
        <w:t>sino una</w:t>
      </w:r>
      <w:r>
        <w:rPr>
          <w:rFonts w:ascii="Times New Roman" w:eastAsia="Times New Roman" w:hAnsi="Times New Roman" w:cs="Times New Roman"/>
        </w:rPr>
        <w:t xml:space="preserve"> obligación ética y política para transformar las condiciones que permiten que esta violencia persista en el presente, y por ello, es imprescindible impulsar Proyectos de Acuerdo que garanticen a las mujeres una vida libre de violencia, dignidad humana, derechos fundamentales y del mismo modo que se garanticen los derechos de sus hijos. </w:t>
      </w:r>
    </w:p>
    <w:p w14:paraId="15B7DCC5" w14:textId="0AB8EE41"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En el 2024, el instituto nacional de la salud registró un total de 66.621 casos de violencia de género, de los cuales el 75,6% es violencia a mujeres, siendo un total de 50. 374 casos, asimismo, el INS recalcó que la ciudad en la cual se presentan </w:t>
      </w:r>
      <w:r w:rsidR="006D74E6">
        <w:rPr>
          <w:rFonts w:ascii="Times New Roman" w:eastAsia="Times New Roman" w:hAnsi="Times New Roman" w:cs="Times New Roman"/>
        </w:rPr>
        <w:t>mayor caso</w:t>
      </w:r>
      <w:r>
        <w:rPr>
          <w:rFonts w:ascii="Times New Roman" w:eastAsia="Times New Roman" w:hAnsi="Times New Roman" w:cs="Times New Roman"/>
        </w:rPr>
        <w:t xml:space="preserve"> de violencia es en Bogotá, concentrando 14. 427 casos.</w:t>
      </w:r>
      <w:r>
        <w:rPr>
          <w:rFonts w:ascii="Times New Roman" w:eastAsia="Times New Roman" w:hAnsi="Times New Roman" w:cs="Times New Roman"/>
          <w:vertAlign w:val="superscript"/>
        </w:rPr>
        <w:footnoteReference w:id="1"/>
      </w:r>
      <w:r>
        <w:rPr>
          <w:rFonts w:ascii="Times New Roman" w:eastAsia="Times New Roman" w:hAnsi="Times New Roman" w:cs="Times New Roman"/>
        </w:rPr>
        <w:t xml:space="preserve"> </w:t>
      </w:r>
    </w:p>
    <w:p w14:paraId="499D35D3" w14:textId="153AC57A"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Ahora bien, la “violencia vicaria” es un término el cual la psicóloga Sonia Vaccaro, acuñó en el 2012, </w:t>
      </w:r>
      <w:r w:rsidR="006D74E6">
        <w:rPr>
          <w:rFonts w:ascii="Times New Roman" w:eastAsia="Times New Roman" w:hAnsi="Times New Roman" w:cs="Times New Roman"/>
        </w:rPr>
        <w:t>definiéndola</w:t>
      </w:r>
      <w:r>
        <w:rPr>
          <w:rFonts w:ascii="Times New Roman" w:eastAsia="Times New Roman" w:hAnsi="Times New Roman" w:cs="Times New Roman"/>
        </w:rPr>
        <w:t xml:space="preserve"> como un tipo de violencia de género en la que los agresores utilizan a los hijos e hijas como instrumento para herir a la mujer, generalmente en el contexto de relaciones rotas, separaciones o divorcios conflictivos. Este tipo de violencia de </w:t>
      </w:r>
      <w:r w:rsidR="006D74E6">
        <w:rPr>
          <w:rFonts w:ascii="Times New Roman" w:eastAsia="Times New Roman" w:hAnsi="Times New Roman" w:cs="Times New Roman"/>
        </w:rPr>
        <w:t xml:space="preserve">género, </w:t>
      </w:r>
      <w:r>
        <w:rPr>
          <w:rFonts w:ascii="Times New Roman" w:eastAsia="Times New Roman" w:hAnsi="Times New Roman" w:cs="Times New Roman"/>
        </w:rPr>
        <w:t xml:space="preserve">se ve manifestada por medio de amenazas, instrumentalización, manipulación emocional, obstaculización del vínculo materno-filial, e incluso en agresiones físicas y feminicidios extendidos, llegando a cometer un filicidio, se denomina a una conducta delictiva la cual consiste en atentar en contra de la vida del hijo. </w:t>
      </w:r>
    </w:p>
    <w:p w14:paraId="2F26CBB3"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La violencia vicaria se puede manifestar, de las siguientes maneras: se utiliza a los hijos con la intención de hacer daño, constantes amenazas de quitarle a los hijos,  detiene tratamientos médicos de los hijos cuando se encuentra con el, utilizar los momentos de visita a los hijos con el fin de insultar a la madre, amenazarla o inclusive humillarla, habla mal de ella y de su familia con los hijos enfrente, amenaza con matar a los hijos, maltrata física y psicológicamente a los hijos con el fin de amenazar o herir a la madre, entre otras. </w:t>
      </w:r>
    </w:p>
    <w:p w14:paraId="7E616904" w14:textId="7B86561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Bajo esta premisa, nace la urgente necesidad </w:t>
      </w:r>
      <w:r w:rsidR="006D74E6">
        <w:rPr>
          <w:rFonts w:ascii="Times New Roman" w:eastAsia="Times New Roman" w:hAnsi="Times New Roman" w:cs="Times New Roman"/>
        </w:rPr>
        <w:t>de reconocer</w:t>
      </w:r>
      <w:r>
        <w:rPr>
          <w:rFonts w:ascii="Times New Roman" w:eastAsia="Times New Roman" w:hAnsi="Times New Roman" w:cs="Times New Roman"/>
        </w:rPr>
        <w:t xml:space="preserve"> y abordar las nuevas formas de violencia, como la violencia vicaria, que vulneran gravemente los derechos y la dignidad de </w:t>
      </w:r>
      <w:r w:rsidR="006D74E6">
        <w:rPr>
          <w:rFonts w:ascii="Times New Roman" w:eastAsia="Times New Roman" w:hAnsi="Times New Roman" w:cs="Times New Roman"/>
        </w:rPr>
        <w:t>l</w:t>
      </w:r>
      <w:r>
        <w:rPr>
          <w:rFonts w:ascii="Times New Roman" w:eastAsia="Times New Roman" w:hAnsi="Times New Roman" w:cs="Times New Roman"/>
        </w:rPr>
        <w:t>as mujeres. Esta modalidad de violencia requiere respuestas integrales y especializadas que garanticen atención, protección y reparación efectiva a las víctimas.</w:t>
      </w:r>
    </w:p>
    <w:p w14:paraId="7A06BA3B"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En Colombia, según la Fundación Colombiana Contra la Violencia Vicaria, quien es la primera organización y la pionera de este tipo de violencia, trabaja por visibilizar, prevenir y combatir la violencia vicaria en Colombia, manifestó que entre enero de 2023 y diciembre de 2024 se han reportado 6.189</w:t>
      </w:r>
      <w:r>
        <w:rPr>
          <w:rFonts w:ascii="Times New Roman" w:eastAsia="Times New Roman" w:hAnsi="Times New Roman" w:cs="Times New Roman"/>
          <w:vertAlign w:val="superscript"/>
        </w:rPr>
        <w:footnoteReference w:id="2"/>
      </w:r>
      <w:r>
        <w:rPr>
          <w:rFonts w:ascii="Times New Roman" w:eastAsia="Times New Roman" w:hAnsi="Times New Roman" w:cs="Times New Roman"/>
        </w:rPr>
        <w:t xml:space="preserve"> casos confirmados de este tipo de Violencia Vicaria, tal como se evidencia en la siguiente gráfica: </w:t>
      </w:r>
    </w:p>
    <w:p w14:paraId="6F236C55"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noProof/>
          <w:lang w:val="es-CO"/>
        </w:rPr>
        <w:drawing>
          <wp:inline distT="114300" distB="114300" distL="114300" distR="114300" wp14:anchorId="41F2428C" wp14:editId="05EFC2A4">
            <wp:extent cx="4230053" cy="2533160"/>
            <wp:effectExtent l="0" t="0" r="0" b="0"/>
            <wp:docPr id="1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8"/>
                    <a:srcRect/>
                    <a:stretch>
                      <a:fillRect/>
                    </a:stretch>
                  </pic:blipFill>
                  <pic:spPr>
                    <a:xfrm>
                      <a:off x="0" y="0"/>
                      <a:ext cx="4230053" cy="2533160"/>
                    </a:xfrm>
                    <a:prstGeom prst="rect">
                      <a:avLst/>
                    </a:prstGeom>
                    <a:ln/>
                  </pic:spPr>
                </pic:pic>
              </a:graphicData>
            </a:graphic>
          </wp:inline>
        </w:drawing>
      </w:r>
    </w:p>
    <w:p w14:paraId="3CFFDF4E" w14:textId="7035800F" w:rsidR="00FA65F7" w:rsidRDefault="00D62B5D">
      <w:pPr>
        <w:spacing w:before="240" w:after="240" w:line="276" w:lineRule="auto"/>
        <w:jc w:val="both"/>
        <w:rPr>
          <w:rFonts w:ascii="Times New Roman" w:eastAsia="Times New Roman" w:hAnsi="Times New Roman" w:cs="Times New Roman"/>
        </w:rPr>
      </w:pPr>
      <w:bookmarkStart w:id="1" w:name="_Hlk204259295"/>
      <w:r>
        <w:rPr>
          <w:rFonts w:ascii="Times New Roman" w:eastAsia="Times New Roman" w:hAnsi="Times New Roman" w:cs="Times New Roman"/>
        </w:rPr>
        <w:t xml:space="preserve">Este Proyecto de Acuerdo busca que los derechos de las mujeres que son víctimas de esta nueva forma de violencia de género sean efectivamente protegidas, en aras de una sociedad más justa, más igualitaria, garantizando que ningún niño, niña y </w:t>
      </w:r>
      <w:r w:rsidR="006D74E6">
        <w:rPr>
          <w:rFonts w:ascii="Times New Roman" w:eastAsia="Times New Roman" w:hAnsi="Times New Roman" w:cs="Times New Roman"/>
        </w:rPr>
        <w:t>adolescente</w:t>
      </w:r>
      <w:r>
        <w:rPr>
          <w:rFonts w:ascii="Times New Roman" w:eastAsia="Times New Roman" w:hAnsi="Times New Roman" w:cs="Times New Roman"/>
        </w:rPr>
        <w:t xml:space="preserve"> quede desprotegido, que se reconozca la violencia vicaria como un tipo de violencia de género y así </w:t>
      </w:r>
      <w:r w:rsidR="006D74E6">
        <w:rPr>
          <w:rFonts w:ascii="Times New Roman" w:eastAsia="Times New Roman" w:hAnsi="Times New Roman" w:cs="Times New Roman"/>
        </w:rPr>
        <w:t>erradicarla de raíz.</w:t>
      </w:r>
    </w:p>
    <w:bookmarkEnd w:id="1"/>
    <w:p w14:paraId="3F2698DD" w14:textId="77777777" w:rsidR="00FA65F7" w:rsidRDefault="00D62B5D">
      <w:pPr>
        <w:spacing w:before="240" w:after="24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3.1 Bogotá carece de un desarrollo normativo de Violencia Vicaria </w:t>
      </w:r>
    </w:p>
    <w:p w14:paraId="46C334D8"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En la ciudad de Bogotá, la categoría jurídica de </w:t>
      </w:r>
      <w:r>
        <w:rPr>
          <w:rFonts w:ascii="Times New Roman" w:eastAsia="Times New Roman" w:hAnsi="Times New Roman" w:cs="Times New Roman"/>
          <w:i/>
        </w:rPr>
        <w:t>“violencia vicaria”,</w:t>
      </w:r>
      <w:r>
        <w:rPr>
          <w:rFonts w:ascii="Times New Roman" w:eastAsia="Times New Roman" w:hAnsi="Times New Roman" w:cs="Times New Roman"/>
        </w:rPr>
        <w:t xml:space="preserve"> carece de un desarrollo normativo, el cual atenta no solo contra las mujeres de nuestra ciudad sino contra sus hijos quienes son utilizados como medio para causar daño a sus progenitoras.</w:t>
      </w:r>
    </w:p>
    <w:p w14:paraId="49CF2526"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En Bogotá, aunque la categoría jurídica de "violencia vicaria" aún no tiene un desarrollo normativo robusto, los casos se presentan de forma frecuente y alarmante. Según cifras de la Secretaría Distrital de la Mujer, muchas mujeres reportan situaciones donde sus ex parejas utilizan a los menores como herramienta de castigo o venganza, lo cual tiene efectos devastadores no solo para ellas sino también para los menores, quienes terminan siendo víctimas directas de esta violencia.</w:t>
      </w:r>
    </w:p>
    <w:p w14:paraId="2AD1051D"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La carencia de desarrollo normativo de “Violencia vicaria”, hace que se tipifique este delito como violencia intrafamiliar, delito que, de acuerdo con las cifras reportadas por la Secretaría de Seguridad, Convivencia y Justicia, en lo corrido del 2025, entre enero y marzo se reporta un aumento en 34.7% frente a las cifras del 2024, 8.233 casos</w:t>
      </w:r>
      <w:r>
        <w:rPr>
          <w:rFonts w:ascii="Times New Roman" w:eastAsia="Times New Roman" w:hAnsi="Times New Roman" w:cs="Times New Roman"/>
          <w:vertAlign w:val="superscript"/>
        </w:rPr>
        <w:footnoteReference w:id="3"/>
      </w:r>
      <w:r>
        <w:rPr>
          <w:rFonts w:ascii="Times New Roman" w:eastAsia="Times New Roman" w:hAnsi="Times New Roman" w:cs="Times New Roman"/>
        </w:rPr>
        <w:t>. De los cuales el 72,8% son casos de mujeres</w:t>
      </w:r>
    </w:p>
    <w:p w14:paraId="2FBDE900"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Ante la ausencia de un desarrollo normativo de la tipificación de “Violencia Vicaria”, se ha registrado en la ciudad de Bogotá, una red de corrupción que beneficia a los presuntos abusadores, donde se encuentran: abogados, peritos, psicólogos, comisarios y jueces involucrados. Esta red de corrupción se dedica a utilizar el concepto de “Alienación parental” y con este logran concluir que los niños nunca han sido víctimas de abusos por parte del progenitor. </w:t>
      </w:r>
    </w:p>
    <w:p w14:paraId="23A07912"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En términos generales la alienación parental, también conocida como síndrome de alienación parental  (SAP), se trata de: la  creación de una campaña de denigración a uno de sus padres, pero excluye la violencia física o cualquier tipo de abuso y maltrato, con el único fin de excluir al padre rechazado. </w:t>
      </w:r>
    </w:p>
    <w:p w14:paraId="5E5179BC" w14:textId="77777777" w:rsidR="00FA65F7" w:rsidRDefault="00D62B5D">
      <w:pPr>
        <w:spacing w:before="240" w:after="240"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Razón por la cual es necesario fortalecer la capacidad institucional para identificar y actuar frente a la violencia vicaria en Bogotá, especialmente en las Comisarías de Familia y Casas de Justicia, garantizando que el personal tenga la formación adecuada para abordar estos casos con enfoque de género y derechos humanos.</w:t>
      </w:r>
    </w:p>
    <w:p w14:paraId="76B80519" w14:textId="77777777" w:rsidR="00FA65F7" w:rsidRDefault="00D62B5D">
      <w:pPr>
        <w:numPr>
          <w:ilvl w:val="0"/>
          <w:numId w:val="1"/>
        </w:numPr>
        <w:spacing w:before="240" w:after="240"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violencia vicaria en las comisarías de familia  </w:t>
      </w:r>
    </w:p>
    <w:p w14:paraId="0CA88E31" w14:textId="77777777" w:rsidR="00FA65F7" w:rsidRDefault="00D62B5D">
      <w:pPr>
        <w:spacing w:before="240" w:after="240"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Preguntar si existen denuncias públicas frente a esto. </w:t>
      </w:r>
    </w:p>
    <w:p w14:paraId="396395E3" w14:textId="7A625B9F" w:rsidR="00FA65F7" w:rsidRDefault="00D62B5D">
      <w:pPr>
        <w:spacing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La violencia vicaria genera una afectación psicoemocional profunda, tanto en las mujeres como en los </w:t>
      </w:r>
      <w:r w:rsidR="006D74E6">
        <w:rPr>
          <w:rFonts w:ascii="Times New Roman" w:eastAsia="Times New Roman" w:hAnsi="Times New Roman" w:cs="Times New Roman"/>
          <w:color w:val="010101"/>
        </w:rPr>
        <w:t>niños, niñas</w:t>
      </w:r>
      <w:r>
        <w:rPr>
          <w:rFonts w:ascii="Times New Roman" w:eastAsia="Times New Roman" w:hAnsi="Times New Roman" w:cs="Times New Roman"/>
          <w:color w:val="010101"/>
        </w:rPr>
        <w:t xml:space="preserve"> y adolescentes,</w:t>
      </w:r>
      <w:r w:rsidR="006D74E6">
        <w:rPr>
          <w:rFonts w:ascii="Times New Roman" w:eastAsia="Times New Roman" w:hAnsi="Times New Roman" w:cs="Times New Roman"/>
          <w:color w:val="010101"/>
        </w:rPr>
        <w:t xml:space="preserve"> </w:t>
      </w:r>
      <w:r>
        <w:rPr>
          <w:rFonts w:ascii="Times New Roman" w:eastAsia="Times New Roman" w:hAnsi="Times New Roman" w:cs="Times New Roman"/>
          <w:color w:val="010101"/>
        </w:rPr>
        <w:t>que son instrumentalizados como medio de agresión. Los menores expuestos a esta violencia desarrollan traumas severos: trastornos de ansiedad, disociación afectiva, autolesiones, aislamiento, abandono escolar y odio inducido hacia la madre.</w:t>
      </w:r>
    </w:p>
    <w:p w14:paraId="3C7A061F" w14:textId="77777777" w:rsidR="00FA65F7" w:rsidRDefault="00FA65F7">
      <w:pPr>
        <w:spacing w:line="276" w:lineRule="auto"/>
        <w:jc w:val="both"/>
        <w:rPr>
          <w:rFonts w:ascii="Times New Roman" w:eastAsia="Times New Roman" w:hAnsi="Times New Roman" w:cs="Times New Roman"/>
          <w:color w:val="010101"/>
        </w:rPr>
      </w:pPr>
    </w:p>
    <w:p w14:paraId="3049B93E" w14:textId="06616585" w:rsidR="00FA65F7" w:rsidRDefault="00D62B5D">
      <w:pPr>
        <w:spacing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Además, los efectos colaterales en salud pública son evidentes: según informes de la </w:t>
      </w:r>
      <w:r w:rsidR="006D74E6">
        <w:rPr>
          <w:rFonts w:ascii="Times New Roman" w:eastAsia="Times New Roman" w:hAnsi="Times New Roman" w:cs="Times New Roman"/>
          <w:color w:val="010101"/>
        </w:rPr>
        <w:t>Fundación</w:t>
      </w:r>
      <w:r>
        <w:rPr>
          <w:rFonts w:ascii="Times New Roman" w:eastAsia="Times New Roman" w:hAnsi="Times New Roman" w:cs="Times New Roman"/>
          <w:color w:val="010101"/>
        </w:rPr>
        <w:t xml:space="preserve"> Colombiana Contra la Violencia Vicaria, muchas mujeres víctimas presentan síntomas como insomnio, depresión, intentos de suicidio y enfermedades crónicas agravadas por el estrés permanente. Algunas desarrollan incluso cáncer derivado de estos estados prolongados de angustia y desprotección, lo cual evidencia el carácter grave y acumulativo de este tipo de violencia.</w:t>
      </w:r>
      <w:r>
        <w:rPr>
          <w:rFonts w:ascii="Times New Roman" w:eastAsia="Times New Roman" w:hAnsi="Times New Roman" w:cs="Times New Roman"/>
          <w:color w:val="010101"/>
          <w:vertAlign w:val="superscript"/>
        </w:rPr>
        <w:footnoteReference w:id="4"/>
      </w:r>
    </w:p>
    <w:p w14:paraId="17543B2B" w14:textId="77777777" w:rsidR="00FA65F7" w:rsidRDefault="00FA65F7">
      <w:pPr>
        <w:spacing w:line="276" w:lineRule="auto"/>
        <w:jc w:val="both"/>
        <w:rPr>
          <w:rFonts w:ascii="Times New Roman" w:eastAsia="Times New Roman" w:hAnsi="Times New Roman" w:cs="Times New Roman"/>
          <w:color w:val="010101"/>
        </w:rPr>
      </w:pPr>
    </w:p>
    <w:p w14:paraId="156EAA94" w14:textId="1B3BC6AC" w:rsidR="00FA65F7" w:rsidRDefault="00D62B5D">
      <w:pPr>
        <w:spacing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En </w:t>
      </w:r>
      <w:r w:rsidR="006D74E6">
        <w:rPr>
          <w:rFonts w:ascii="Times New Roman" w:eastAsia="Times New Roman" w:hAnsi="Times New Roman" w:cs="Times New Roman"/>
          <w:color w:val="010101"/>
        </w:rPr>
        <w:t>2023, Bogotá</w:t>
      </w:r>
      <w:r>
        <w:rPr>
          <w:rFonts w:ascii="Times New Roman" w:eastAsia="Times New Roman" w:hAnsi="Times New Roman" w:cs="Times New Roman"/>
          <w:color w:val="010101"/>
        </w:rPr>
        <w:t xml:space="preserve"> se vio enfrentada a una alarmante situación que vulnera los derechos materiales de niños, niñas y adolescentes. Tal como lo documentó la revista Semana en una serie de investigaciones, </w:t>
      </w:r>
      <w:r w:rsidR="006D74E6">
        <w:rPr>
          <w:rFonts w:ascii="Times New Roman" w:eastAsia="Times New Roman" w:hAnsi="Times New Roman" w:cs="Times New Roman"/>
          <w:color w:val="010101"/>
        </w:rPr>
        <w:t>se reveló</w:t>
      </w:r>
      <w:r>
        <w:rPr>
          <w:rFonts w:ascii="Times New Roman" w:eastAsia="Times New Roman" w:hAnsi="Times New Roman" w:cs="Times New Roman"/>
          <w:color w:val="010101"/>
        </w:rPr>
        <w:t xml:space="preserve"> la existencia de una serie de decisiones judiciales de custodia en las que presuntamente se prioriza la capacidad económica de los progenitores por encima del interés superior del menor. Bajo el titular “Cartel de la Infancia” </w:t>
      </w:r>
      <w:r>
        <w:rPr>
          <w:rFonts w:ascii="Times New Roman" w:eastAsia="Times New Roman" w:hAnsi="Times New Roman" w:cs="Times New Roman"/>
          <w:color w:val="010101"/>
          <w:vertAlign w:val="superscript"/>
        </w:rPr>
        <w:footnoteReference w:id="5"/>
      </w:r>
    </w:p>
    <w:p w14:paraId="700982D0" w14:textId="77777777" w:rsidR="006D74E6" w:rsidRDefault="006D74E6">
      <w:pPr>
        <w:spacing w:line="276" w:lineRule="auto"/>
        <w:jc w:val="both"/>
        <w:rPr>
          <w:rFonts w:ascii="Times New Roman" w:eastAsia="Times New Roman" w:hAnsi="Times New Roman" w:cs="Times New Roman"/>
          <w:color w:val="010101"/>
        </w:rPr>
      </w:pPr>
    </w:p>
    <w:p w14:paraId="5192ADF5" w14:textId="77777777" w:rsidR="00FA65F7" w:rsidRDefault="00D62B5D">
      <w:pPr>
        <w:spacing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Testimonios recopilados por la Fundación Colombiana Contra la Violencia Vicaria, medios de comunicación como la revista Semana, y reportajes audiovisuales como los realizados por “</w:t>
      </w:r>
      <w:r>
        <w:rPr>
          <w:rFonts w:ascii="Times New Roman" w:eastAsia="Times New Roman" w:hAnsi="Times New Roman" w:cs="Times New Roman"/>
          <w:i/>
          <w:color w:val="010101"/>
        </w:rPr>
        <w:t>La Historia Paralela</w:t>
      </w:r>
      <w:r>
        <w:rPr>
          <w:rFonts w:ascii="Times New Roman" w:eastAsia="Times New Roman" w:hAnsi="Times New Roman" w:cs="Times New Roman"/>
          <w:color w:val="010101"/>
        </w:rPr>
        <w:t xml:space="preserve">, </w:t>
      </w:r>
      <w:r>
        <w:rPr>
          <w:rFonts w:ascii="Times New Roman" w:eastAsia="Times New Roman" w:hAnsi="Times New Roman" w:cs="Times New Roman"/>
          <w:i/>
          <w:color w:val="010101"/>
        </w:rPr>
        <w:t>El Cartel de la Infancia",</w:t>
      </w:r>
      <w:r>
        <w:rPr>
          <w:rFonts w:ascii="Times New Roman" w:eastAsia="Times New Roman" w:hAnsi="Times New Roman" w:cs="Times New Roman"/>
          <w:color w:val="010101"/>
        </w:rPr>
        <w:t xml:space="preserve"> y documentales difundidos en redes sociales, muestran cómo muchos padres agresores utilizan el sistema judicial para arrebatar la custodia de los hijos a madres protectoras. Se manipulan tutelas, comisarías de familia y procesos civiles para legitimar el daño. Esta instrumentalización de las instituciones configura un patrón de violencia institucional y estructural.</w:t>
      </w:r>
    </w:p>
    <w:p w14:paraId="032860B5"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Por lo tanto, la capacitación es prioridad sobre este tema, para lo cual se podrán incluir dentro de las capacitaciones la siguiente información entregada por la Fundación para la Violencia Vicaria en Colombia, de cómo se puede identificar: </w:t>
      </w:r>
    </w:p>
    <w:p w14:paraId="3F12A4EB" w14:textId="77777777" w:rsidR="00FA65F7" w:rsidRDefault="00D62B5D">
      <w:pPr>
        <w:spacing w:before="240" w:after="240" w:line="276" w:lineRule="auto"/>
        <w:ind w:left="1080" w:hanging="360"/>
        <w:jc w:val="both"/>
        <w:rPr>
          <w:rFonts w:ascii="Times New Roman" w:eastAsia="Times New Roman" w:hAnsi="Times New Roman" w:cs="Times New Roman"/>
        </w:rPr>
      </w:pPr>
      <w:r>
        <w:rPr>
          <w:rFonts w:ascii="Times New Roman" w:eastAsia="Times New Roman" w:hAnsi="Times New Roman" w:cs="Times New Roman"/>
        </w:rPr>
        <w:t>·</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  De manera constante habla mal de la madre frente a las hijas e hijos y permite que los niños y/o alguna otra persona también lo haga. Sus hijas e hijos siempre están expuestos a estos estímulos negativos.</w:t>
      </w:r>
    </w:p>
    <w:p w14:paraId="494DA8CF" w14:textId="77777777" w:rsidR="00FA65F7" w:rsidRDefault="00D62B5D">
      <w:pPr>
        <w:spacing w:before="240" w:after="240" w:line="276" w:lineRule="auto"/>
        <w:ind w:left="1080" w:hanging="360"/>
        <w:jc w:val="both"/>
        <w:rPr>
          <w:rFonts w:ascii="Times New Roman" w:eastAsia="Times New Roman" w:hAnsi="Times New Roman" w:cs="Times New Roman"/>
        </w:rPr>
      </w:pPr>
      <w:r>
        <w:rPr>
          <w:rFonts w:ascii="Times New Roman" w:eastAsia="Times New Roman" w:hAnsi="Times New Roman" w:cs="Times New Roman"/>
        </w:rPr>
        <w:t>·         No se encarga de las necesidades básicas de las niñas y niños y hace lo posible por hacerle la vida más complicada a la madre a través de las hijas e hijos.</w:t>
      </w:r>
    </w:p>
    <w:p w14:paraId="4351EB16" w14:textId="77777777" w:rsidR="00FA65F7" w:rsidRDefault="00D62B5D">
      <w:pPr>
        <w:spacing w:before="240" w:after="240" w:line="276" w:lineRule="auto"/>
        <w:ind w:left="1080" w:hanging="360"/>
        <w:jc w:val="both"/>
        <w:rPr>
          <w:rFonts w:ascii="Times New Roman" w:eastAsia="Times New Roman" w:hAnsi="Times New Roman" w:cs="Times New Roman"/>
        </w:rPr>
      </w:pPr>
      <w:r>
        <w:rPr>
          <w:rFonts w:ascii="Times New Roman" w:eastAsia="Times New Roman" w:hAnsi="Times New Roman" w:cs="Times New Roman"/>
        </w:rPr>
        <w:t>·         Manipula a las hijas e hijos dependiendo de sus intereses y necesidades personales. Los pone en contra de la madre.</w:t>
      </w:r>
    </w:p>
    <w:p w14:paraId="38B47552" w14:textId="77777777" w:rsidR="00FA65F7" w:rsidRDefault="00D62B5D">
      <w:pPr>
        <w:spacing w:before="240" w:after="240" w:line="276" w:lineRule="auto"/>
        <w:ind w:left="1080" w:hanging="360"/>
        <w:jc w:val="both"/>
        <w:rPr>
          <w:rFonts w:ascii="Times New Roman" w:eastAsia="Times New Roman" w:hAnsi="Times New Roman" w:cs="Times New Roman"/>
        </w:rPr>
      </w:pPr>
      <w:r>
        <w:rPr>
          <w:rFonts w:ascii="Times New Roman" w:eastAsia="Times New Roman" w:hAnsi="Times New Roman" w:cs="Times New Roman"/>
        </w:rPr>
        <w:t>·         Amenaza a la madre de manera continua con hacerle daño a las hijas e hijos o a quitárselos.</w:t>
      </w:r>
    </w:p>
    <w:p w14:paraId="7E05ABD1" w14:textId="77777777" w:rsidR="00FA65F7" w:rsidRDefault="00D62B5D">
      <w:pPr>
        <w:spacing w:before="240" w:after="240" w:line="276" w:lineRule="auto"/>
        <w:ind w:left="1080" w:hanging="360"/>
        <w:jc w:val="both"/>
        <w:rPr>
          <w:rFonts w:ascii="Times New Roman" w:eastAsia="Times New Roman" w:hAnsi="Times New Roman" w:cs="Times New Roman"/>
        </w:rPr>
      </w:pPr>
      <w:r>
        <w:rPr>
          <w:rFonts w:ascii="Times New Roman" w:eastAsia="Times New Roman" w:hAnsi="Times New Roman" w:cs="Times New Roman"/>
        </w:rPr>
        <w:t>·         Siempre interroga a las hijas e hijos para obtener la mayor cantidad de información de la madre que posteriormente usa en su contra con la finalidad de seguir ejerciendo control sobre ella.</w:t>
      </w:r>
    </w:p>
    <w:p w14:paraId="3A9D79BF" w14:textId="77777777" w:rsidR="00FA65F7" w:rsidRDefault="00D62B5D">
      <w:pPr>
        <w:spacing w:before="240" w:after="240" w:line="276" w:lineRule="auto"/>
        <w:ind w:left="1080" w:hanging="360"/>
        <w:jc w:val="both"/>
        <w:rPr>
          <w:rFonts w:ascii="Times New Roman" w:eastAsia="Times New Roman" w:hAnsi="Times New Roman" w:cs="Times New Roman"/>
        </w:rPr>
      </w:pPr>
      <w:r>
        <w:rPr>
          <w:rFonts w:ascii="Times New Roman" w:eastAsia="Times New Roman" w:hAnsi="Times New Roman" w:cs="Times New Roman"/>
        </w:rPr>
        <w:t>·         Se dedica a herir, injuriar y amenazar, aprovecha los momentos de encuentro para insultar.</w:t>
      </w:r>
    </w:p>
    <w:p w14:paraId="465461F0" w14:textId="77777777" w:rsidR="00FA65F7" w:rsidRDefault="00D62B5D">
      <w:pPr>
        <w:spacing w:before="240" w:after="240" w:line="276" w:lineRule="auto"/>
        <w:ind w:left="1080" w:hanging="360"/>
        <w:jc w:val="both"/>
        <w:rPr>
          <w:rFonts w:ascii="Times New Roman" w:eastAsia="Times New Roman" w:hAnsi="Times New Roman" w:cs="Times New Roman"/>
        </w:rPr>
      </w:pPr>
      <w:r>
        <w:rPr>
          <w:rFonts w:ascii="Times New Roman" w:eastAsia="Times New Roman" w:hAnsi="Times New Roman" w:cs="Times New Roman"/>
        </w:rPr>
        <w:t>·         Aprovecha cada oportunidad para lastimar y amenazar a la madre y dejarle saber que las consecuencias de sus actos tendrán consecuencias graves.</w:t>
      </w:r>
    </w:p>
    <w:p w14:paraId="2E3E0DF4"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Así mismo, se considera de vital importancia, la instauración de un Día Distrital contra la Violencia Vicaria cumple múltiples propósitos:</w:t>
      </w:r>
    </w:p>
    <w:p w14:paraId="1DAA1459"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Visibilizar y reconocer esta forma de violencia, aún poco comprendida, pero profundamente destructiva.</w:t>
      </w:r>
    </w:p>
    <w:p w14:paraId="20DB517B"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Sensibilizar a la ciudadanía y las instituciones sobre su existencia, mecanismos y consecuencias.</w:t>
      </w:r>
    </w:p>
    <w:p w14:paraId="18D1A989"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Fortalecer las capacidades institucionales de atención desde las Comisarías de Familia, Casas de Justicia, Policía, sector salud y sistema judicial.</w:t>
      </w:r>
    </w:p>
    <w:p w14:paraId="3E61BC0B"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Impartir capacitaciones específicas a servidores públicos, con enfoque diferencial e interseccional.</w:t>
      </w:r>
    </w:p>
    <w:p w14:paraId="4677D294"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Promover campañas pedagógicas que desnaturalicen la violencia basada en género.</w:t>
      </w:r>
    </w:p>
    <w:p w14:paraId="7DD656C5"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Esta iniciativa no solo es pertinente sino urgente, en un contexto donde las cifras de violencia intrafamiliar y violencia de género continúan en aumento, y donde es necesario avanzar hacia una cultura de paz, corresponsabilidad parental y protección integral de la niñez.</w:t>
      </w:r>
    </w:p>
    <w:p w14:paraId="22CBD00F" w14:textId="77777777" w:rsidR="00FA65F7" w:rsidRDefault="00D62B5D">
      <w:pPr>
        <w:spacing w:before="240" w:after="240" w:line="276" w:lineRule="auto"/>
        <w:jc w:val="both"/>
        <w:rPr>
          <w:rFonts w:ascii="Times New Roman" w:eastAsia="Times New Roman" w:hAnsi="Times New Roman" w:cs="Times New Roman"/>
          <w:b/>
          <w:color w:val="010101"/>
        </w:rPr>
      </w:pPr>
      <w:r>
        <w:rPr>
          <w:rFonts w:ascii="Times New Roman" w:eastAsia="Times New Roman" w:hAnsi="Times New Roman" w:cs="Times New Roman"/>
          <w:b/>
          <w:color w:val="010101"/>
        </w:rPr>
        <w:t xml:space="preserve">3.2 Implementación de Violencia Vicaria en España </w:t>
      </w:r>
    </w:p>
    <w:p w14:paraId="7FF9991A" w14:textId="2F334047" w:rsidR="00FA65F7" w:rsidRDefault="00D62B5D">
      <w:pPr>
        <w:spacing w:before="240" w:after="240"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España ha sido un país el cual ha reconocido diversas formas de violencia de género, y </w:t>
      </w:r>
      <w:r w:rsidR="006D74E6">
        <w:rPr>
          <w:rFonts w:ascii="Times New Roman" w:eastAsia="Times New Roman" w:hAnsi="Times New Roman" w:cs="Times New Roman"/>
          <w:color w:val="010101"/>
        </w:rPr>
        <w:t>se encuentran</w:t>
      </w:r>
      <w:r>
        <w:rPr>
          <w:rFonts w:ascii="Times New Roman" w:eastAsia="Times New Roman" w:hAnsi="Times New Roman" w:cs="Times New Roman"/>
          <w:color w:val="010101"/>
        </w:rPr>
        <w:t xml:space="preserve"> contempladas en la Ley Orgánica 1/2004 del 28</w:t>
      </w:r>
      <w:r>
        <w:rPr>
          <w:rFonts w:ascii="Times New Roman" w:eastAsia="Times New Roman" w:hAnsi="Times New Roman" w:cs="Times New Roman"/>
          <w:color w:val="010101"/>
          <w:vertAlign w:val="superscript"/>
        </w:rPr>
        <w:footnoteReference w:id="6"/>
      </w:r>
      <w:r>
        <w:rPr>
          <w:rFonts w:ascii="Times New Roman" w:eastAsia="Times New Roman" w:hAnsi="Times New Roman" w:cs="Times New Roman"/>
          <w:color w:val="010101"/>
        </w:rPr>
        <w:t xml:space="preserve"> de diciembre, reconociéndose como el símbolo más brutal de la desigualdad existente en la sociedad, es pertinente mencionar que paulatinamente se ha venido </w:t>
      </w:r>
      <w:r w:rsidR="006D74E6">
        <w:rPr>
          <w:rFonts w:ascii="Times New Roman" w:eastAsia="Times New Roman" w:hAnsi="Times New Roman" w:cs="Times New Roman"/>
          <w:color w:val="010101"/>
        </w:rPr>
        <w:t>actualizando hasta</w:t>
      </w:r>
      <w:r>
        <w:rPr>
          <w:rFonts w:ascii="Times New Roman" w:eastAsia="Times New Roman" w:hAnsi="Times New Roman" w:cs="Times New Roman"/>
          <w:color w:val="010101"/>
        </w:rPr>
        <w:t xml:space="preserve"> que finalmente se integró el término de “violencia vicaria”. </w:t>
      </w:r>
    </w:p>
    <w:p w14:paraId="2573697E" w14:textId="77777777" w:rsidR="00FA65F7" w:rsidRDefault="00D62B5D">
      <w:pPr>
        <w:spacing w:before="240" w:after="240"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En el artículo 19 de la mencionada Ley, España reconoce a los niños, niñas y adolescentes que resultan como víctimas de estas nuevas formas de violencia, reconociéndose asistencia social integral, contemplando que los servicios sanitarios deberán contemplar con psicólogos infantiles para la atención de los hijos que sean víctimas de violencia vicaria. </w:t>
      </w:r>
      <w:r>
        <w:rPr>
          <w:rFonts w:ascii="Times New Roman" w:eastAsia="Times New Roman" w:hAnsi="Times New Roman" w:cs="Times New Roman"/>
          <w:color w:val="010101"/>
          <w:vertAlign w:val="superscript"/>
        </w:rPr>
        <w:footnoteReference w:id="7"/>
      </w:r>
    </w:p>
    <w:p w14:paraId="57A2C1BE" w14:textId="726D7C49" w:rsidR="00FA65F7" w:rsidRDefault="00D62B5D">
      <w:pPr>
        <w:spacing w:before="240" w:after="240" w:line="276" w:lineRule="auto"/>
        <w:jc w:val="both"/>
        <w:rPr>
          <w:rFonts w:ascii="Times New Roman" w:eastAsia="Times New Roman" w:hAnsi="Times New Roman" w:cs="Times New Roman"/>
          <w:color w:val="010101"/>
        </w:rPr>
      </w:pPr>
      <w:r>
        <w:rPr>
          <w:rFonts w:ascii="Times New Roman" w:eastAsia="Times New Roman" w:hAnsi="Times New Roman" w:cs="Times New Roman"/>
          <w:color w:val="010101"/>
        </w:rPr>
        <w:t xml:space="preserve">Angela Gonzales, caso hito en España, en el cual el Tribunal Supremo reconoce la responsabilidad de estado Español en el asesinato </w:t>
      </w:r>
      <w:r>
        <w:rPr>
          <w:rFonts w:ascii="Times New Roman" w:eastAsia="Times New Roman" w:hAnsi="Times New Roman" w:cs="Times New Roman"/>
          <w:color w:val="212529"/>
        </w:rPr>
        <w:t>de Andrea Rascón González a manos de su padre tras 51 denuncias de la madre.</w:t>
      </w:r>
    </w:p>
    <w:p w14:paraId="19EF6DFE" w14:textId="77777777" w:rsidR="00FA65F7" w:rsidRDefault="00D62B5D">
      <w:pPr>
        <w:spacing w:before="240" w:after="240" w:line="276" w:lineRule="auto"/>
        <w:jc w:val="both"/>
        <w:rPr>
          <w:rFonts w:ascii="Times New Roman" w:eastAsia="Times New Roman" w:hAnsi="Times New Roman" w:cs="Times New Roman"/>
          <w:b/>
        </w:rPr>
      </w:pPr>
      <w:r>
        <w:rPr>
          <w:rFonts w:ascii="Times New Roman" w:eastAsia="Times New Roman" w:hAnsi="Times New Roman" w:cs="Times New Roman"/>
          <w:b/>
        </w:rPr>
        <w:t>IV. MARCO JURÍDICO Y COMPETENCIA DEL CONCEJO DE BOGOTÁ</w:t>
      </w:r>
    </w:p>
    <w:p w14:paraId="115B6631"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A. Constitución Política de Colombia de 1991</w:t>
      </w:r>
    </w:p>
    <w:p w14:paraId="7A6C3320"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La Carta Magna en su artículo 13 establece el derecho a la igualdad y a recibir protección especial del Estado cuando se trata de sujetos en situación de vulnerabilidad. Además, el artículo 44 reconoce los derechos fundamentales de los niños y niñas, entre ellos el amor, la convivencia familiar, la protección contra el abandono y la violencia.</w:t>
      </w:r>
    </w:p>
    <w:p w14:paraId="23F23DD9"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B. Ámbito legal</w:t>
      </w:r>
    </w:p>
    <w:p w14:paraId="1F3B84FA"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Ley 1257 de 2008: establece medidas de prevención, atención y sanción de la violencia contra las mujeres, aplicable a todas sus formas, incluyendo la violencia psicológica y la ejercida por medio de terceros.</w:t>
      </w:r>
    </w:p>
    <w:p w14:paraId="496927D0"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Ley 1098 de 2006: establece la prioridad del interés superior del menor y su protección contra toda forma de maltrato, negligencia y violencia.</w:t>
      </w:r>
    </w:p>
    <w:p w14:paraId="62292ADB"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Ley 294 de 1996 y Ley 575 de 2000: sobre la violencia intrafamiliar.</w:t>
      </w:r>
    </w:p>
    <w:p w14:paraId="605DFAA9"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Ley 1719 de 2014 y Ley 2126 de 2021: fortalecen la respuesta institucional frente a delitos sexuales y violencia contra mujeres.</w:t>
      </w:r>
    </w:p>
    <w:p w14:paraId="1065FCD7"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C. Decretos</w:t>
      </w:r>
    </w:p>
    <w:p w14:paraId="33A1769C"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Decreto 2733 de 2012 sobre el funcionamiento de Comisarías de Familia y su papel en la prevención de la violencia intrafamiliar.</w:t>
      </w:r>
    </w:p>
    <w:p w14:paraId="5450027B"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Decreto 164 de 2010 y Decreto 166 de 2010, por medio de los cuales se reglamentan las funciones de la Secretaría Distrital de la Mujer y se establecen políticas públicas de género.</w:t>
      </w:r>
    </w:p>
    <w:p w14:paraId="1C7C1149"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D. Jurisprudencia</w:t>
      </w:r>
    </w:p>
    <w:p w14:paraId="5EAFE6DF"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La Corte Constitucional ha reiterado en múltiples sentencias la importancia del enfoque de género (T-340/10, T-722/14) y el deber del Estado de actuar con diligencia frente a la violencia basada en género, incluyendo sus formas indirectas.</w:t>
      </w:r>
    </w:p>
    <w:p w14:paraId="1D38F28C" w14:textId="77777777" w:rsidR="00FA65F7" w:rsidRDefault="00D62B5D">
      <w:pPr>
        <w:spacing w:before="240" w:after="240" w:line="276" w:lineRule="auto"/>
        <w:jc w:val="both"/>
        <w:rPr>
          <w:rFonts w:ascii="Times New Roman" w:eastAsia="Times New Roman" w:hAnsi="Times New Roman" w:cs="Times New Roman"/>
          <w:i/>
        </w:rPr>
      </w:pPr>
      <w:r>
        <w:rPr>
          <w:rFonts w:ascii="Times New Roman" w:eastAsia="Times New Roman" w:hAnsi="Times New Roman" w:cs="Times New Roman"/>
        </w:rPr>
        <w:t xml:space="preserve">T-172 del 2023 La Corte Constitucional ha señalado lo siguiente sobre la violencia Vicaria: </w:t>
      </w:r>
      <w:r>
        <w:rPr>
          <w:rFonts w:ascii="Times New Roman" w:eastAsia="Times New Roman" w:hAnsi="Times New Roman" w:cs="Times New Roman"/>
          <w:i/>
        </w:rPr>
        <w:t xml:space="preserve">“Se entiende por violencia vicaria cualquier acción u omisión que genere daño físico, psicológico, emocional, sexual, patrimonial o de cualquier índole a familiares, dependientes o personas afectivamente significativas para la mujer con el objetivo de causarle daño. Se trata de una violencia indirecta que tiene como fin afligir a una persona instrumentalizando a un tercero, especialmente a un niño. Es otra forma de violencia que se ha convertido en la antesala de un feminicidio (Corte Constitucional, Sentencia T – 172 de 2023).” </w:t>
      </w:r>
    </w:p>
    <w:p w14:paraId="2CBDB02A"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Sentencia T-401 del 2024. </w:t>
      </w:r>
    </w:p>
    <w:p w14:paraId="041C03CB" w14:textId="77777777" w:rsidR="00FA65F7" w:rsidRDefault="00D62B5D">
      <w:pPr>
        <w:spacing w:before="240" w:after="240" w:line="276" w:lineRule="auto"/>
        <w:jc w:val="both"/>
        <w:rPr>
          <w:rFonts w:ascii="Times New Roman" w:eastAsia="Times New Roman" w:hAnsi="Times New Roman" w:cs="Times New Roman"/>
          <w:i/>
        </w:rPr>
      </w:pPr>
      <w:r>
        <w:rPr>
          <w:rFonts w:ascii="Times New Roman" w:eastAsia="Times New Roman" w:hAnsi="Times New Roman" w:cs="Times New Roman"/>
        </w:rPr>
        <w:t>Sentencia T-267 del 2023.</w:t>
      </w:r>
    </w:p>
    <w:p w14:paraId="41CA2FA1" w14:textId="11EB7301"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w:t>
      </w:r>
      <w:r w:rsidR="00D62B5D">
        <w:rPr>
          <w:rFonts w:ascii="Times New Roman" w:eastAsia="Times New Roman" w:hAnsi="Times New Roman" w:cs="Times New Roman"/>
        </w:rPr>
        <w:t>-462 del 2018</w:t>
      </w:r>
    </w:p>
    <w:p w14:paraId="049205C3" w14:textId="0CA3A952"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w:t>
      </w:r>
      <w:r w:rsidR="00D62B5D">
        <w:rPr>
          <w:rFonts w:ascii="Times New Roman" w:eastAsia="Times New Roman" w:hAnsi="Times New Roman" w:cs="Times New Roman"/>
        </w:rPr>
        <w:t>-245a del 2022</w:t>
      </w:r>
    </w:p>
    <w:p w14:paraId="70F3CE3F" w14:textId="0022FAB3"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w:t>
      </w:r>
      <w:r w:rsidR="00D62B5D">
        <w:rPr>
          <w:rFonts w:ascii="Times New Roman" w:eastAsia="Times New Roman" w:hAnsi="Times New Roman" w:cs="Times New Roman"/>
        </w:rPr>
        <w:t>-028 del 2023</w:t>
      </w:r>
    </w:p>
    <w:p w14:paraId="543C40DE" w14:textId="701A9EA3"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w:t>
      </w:r>
      <w:r w:rsidR="00D62B5D">
        <w:rPr>
          <w:rFonts w:ascii="Times New Roman" w:eastAsia="Times New Roman" w:hAnsi="Times New Roman" w:cs="Times New Roman"/>
        </w:rPr>
        <w:t>-338 del 2018</w:t>
      </w:r>
    </w:p>
    <w:p w14:paraId="269179C3" w14:textId="152E22E1"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SU</w:t>
      </w:r>
      <w:r w:rsidR="00D62B5D">
        <w:rPr>
          <w:rFonts w:ascii="Times New Roman" w:eastAsia="Times New Roman" w:hAnsi="Times New Roman" w:cs="Times New Roman"/>
        </w:rPr>
        <w:t xml:space="preserve"> 080 del 2020</w:t>
      </w:r>
    </w:p>
    <w:p w14:paraId="35F90402" w14:textId="48123970"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w:t>
      </w:r>
      <w:r w:rsidR="00D62B5D">
        <w:rPr>
          <w:rFonts w:ascii="Times New Roman" w:eastAsia="Times New Roman" w:hAnsi="Times New Roman" w:cs="Times New Roman"/>
        </w:rPr>
        <w:t>-221 de 1994</w:t>
      </w:r>
    </w:p>
    <w:p w14:paraId="2D1B9639" w14:textId="6AA57B1D"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w:t>
      </w:r>
      <w:r w:rsidR="00D62B5D">
        <w:rPr>
          <w:rFonts w:ascii="Times New Roman" w:eastAsia="Times New Roman" w:hAnsi="Times New Roman" w:cs="Times New Roman"/>
        </w:rPr>
        <w:t>-027 del 2025</w:t>
      </w:r>
    </w:p>
    <w:p w14:paraId="165EC5DA" w14:textId="2B186AD3" w:rsidR="00FA65F7" w:rsidRDefault="00863A90">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w:t>
      </w:r>
      <w:r w:rsidR="00D62B5D">
        <w:rPr>
          <w:rFonts w:ascii="Times New Roman" w:eastAsia="Times New Roman" w:hAnsi="Times New Roman" w:cs="Times New Roman"/>
        </w:rPr>
        <w:t>-526 del 2023</w:t>
      </w:r>
    </w:p>
    <w:p w14:paraId="4CD8F810"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Sentencia T- 523 de 2023</w:t>
      </w:r>
    </w:p>
    <w:p w14:paraId="3AB15CAC"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E. Disposiciones Internacionales</w:t>
      </w:r>
    </w:p>
    <w:p w14:paraId="413D0AAD"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CEDAW (1979): llama a los Estados a eliminar la discriminación y violencia contra las mujeres en todas sus formas.</w:t>
      </w:r>
    </w:p>
    <w:p w14:paraId="77BC6772" w14:textId="7777777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Convención de Belém do Pará (1994): reconoce la violencia contra la mujer como una violación a los derechos humanos y establece la obligación de los Estados de prevenir, sancionar y erradicarla.</w:t>
      </w:r>
    </w:p>
    <w:p w14:paraId="11D96CC3" w14:textId="5C6F8567" w:rsidR="00FA65F7" w:rsidRDefault="00D62B5D">
      <w:pPr>
        <w:spacing w:before="240" w:after="240" w:line="276" w:lineRule="auto"/>
        <w:jc w:val="both"/>
        <w:rPr>
          <w:rFonts w:ascii="Times New Roman" w:eastAsia="Times New Roman" w:hAnsi="Times New Roman" w:cs="Times New Roman"/>
        </w:rPr>
      </w:pPr>
      <w:r>
        <w:rPr>
          <w:rFonts w:ascii="Times New Roman" w:eastAsia="Times New Roman" w:hAnsi="Times New Roman" w:cs="Times New Roman"/>
        </w:rPr>
        <w:t xml:space="preserve">Observación General N.º 13 del Comité de Derechos del Niño: exhorta a los Estados a prevenir la violencia en todos los entornos que afecten a niños, incluyendo la manipulación y maltrato por conflictos </w:t>
      </w:r>
      <w:r w:rsidR="00863A90">
        <w:rPr>
          <w:rFonts w:ascii="Times New Roman" w:eastAsia="Times New Roman" w:hAnsi="Times New Roman" w:cs="Times New Roman"/>
        </w:rPr>
        <w:t xml:space="preserve">parentales. </w:t>
      </w:r>
    </w:p>
    <w:p w14:paraId="6264591A" w14:textId="77777777" w:rsidR="009E5CAA" w:rsidRPr="009E5CAA" w:rsidRDefault="009E5CAA" w:rsidP="009E5CAA">
      <w:pPr>
        <w:spacing w:before="240" w:after="240" w:line="276" w:lineRule="auto"/>
        <w:jc w:val="both"/>
        <w:rPr>
          <w:rFonts w:ascii="Times New Roman" w:eastAsia="Times New Roman" w:hAnsi="Times New Roman" w:cs="Times New Roman"/>
          <w:lang w:val="es-CO"/>
        </w:rPr>
      </w:pPr>
      <w:r w:rsidRPr="009E5CAA">
        <w:rPr>
          <w:rFonts w:ascii="Times New Roman" w:eastAsia="Times New Roman" w:hAnsi="Times New Roman" w:cs="Times New Roman"/>
          <w:b/>
          <w:bCs/>
          <w:lang w:val="es-CO"/>
        </w:rPr>
        <w:t>Testimonios de mujeres víctimas y liderazgos sociales en la lucha contra la violencia vicaria</w:t>
      </w:r>
    </w:p>
    <w:p w14:paraId="3EBB2EE2" w14:textId="77777777" w:rsidR="009E5CAA" w:rsidRPr="009E5CAA" w:rsidRDefault="009E5CAA" w:rsidP="009E5CAA">
      <w:pPr>
        <w:spacing w:before="240" w:after="240" w:line="276" w:lineRule="auto"/>
        <w:jc w:val="both"/>
        <w:rPr>
          <w:rFonts w:ascii="Times New Roman" w:eastAsia="Times New Roman" w:hAnsi="Times New Roman" w:cs="Times New Roman"/>
          <w:lang w:val="es-CO"/>
        </w:rPr>
      </w:pPr>
      <w:r w:rsidRPr="009E5CAA">
        <w:rPr>
          <w:rFonts w:ascii="Times New Roman" w:eastAsia="Times New Roman" w:hAnsi="Times New Roman" w:cs="Times New Roman"/>
          <w:lang w:val="es-CO"/>
        </w:rPr>
        <w:t>La violencia vicaria no es una categoría abstracta. Detrás de cada cifra hay vidas fracturadas, infancias arrebatadas y mujeres que han sido despojadas de su derecho a proteger a sus hijos. En Bogotá y en Colombia, muchas han decidido alzar la voz pese al costo emocional, jurídico y personal que eso implica.</w:t>
      </w:r>
    </w:p>
    <w:p w14:paraId="2E027848" w14:textId="77777777" w:rsidR="009E5CAA" w:rsidRPr="009E5CAA" w:rsidRDefault="009E5CAA" w:rsidP="009E5CAA">
      <w:pPr>
        <w:spacing w:before="240" w:after="240" w:line="276" w:lineRule="auto"/>
        <w:jc w:val="both"/>
        <w:rPr>
          <w:rFonts w:ascii="Times New Roman" w:eastAsia="Times New Roman" w:hAnsi="Times New Roman" w:cs="Times New Roman"/>
          <w:lang w:val="es-CO"/>
        </w:rPr>
      </w:pPr>
      <w:r w:rsidRPr="009E5CAA">
        <w:rPr>
          <w:rFonts w:ascii="Times New Roman" w:eastAsia="Times New Roman" w:hAnsi="Times New Roman" w:cs="Times New Roman"/>
          <w:lang w:val="es-CO"/>
        </w:rPr>
        <w:t>Katty Osorio es una de esas mujeres. Su testimonio ha sido clave para visibilizar los mecanismos institucionales que, lejos de proteger, terminan revictimizando a las madres. Su caso refleja cómo el uso distorsionado del concepto de “alienación parental” ha servido como herramienta para deslegitimar denuncias de abuso y quitar la custodia a madres protectoras. Osorio ha relatado públicamente cómo su hijo fue instrumentalizado para ejercer control y castigo contra ella, y cómo enfrentó una red de silencios, dilaciones y omisiones institucionales.</w:t>
      </w:r>
    </w:p>
    <w:p w14:paraId="6EABE101" w14:textId="47C3E26C" w:rsidR="009E5CAA" w:rsidRPr="009E5CAA" w:rsidRDefault="009E5CAA" w:rsidP="009E5CAA">
      <w:pPr>
        <w:spacing w:before="240" w:after="240" w:line="276" w:lineRule="auto"/>
        <w:jc w:val="both"/>
        <w:rPr>
          <w:rFonts w:ascii="Times New Roman" w:eastAsia="Times New Roman" w:hAnsi="Times New Roman" w:cs="Times New Roman"/>
          <w:lang w:val="es-CO"/>
        </w:rPr>
      </w:pPr>
      <w:r w:rsidRPr="009E5CAA">
        <w:rPr>
          <w:rFonts w:ascii="Times New Roman" w:eastAsia="Times New Roman" w:hAnsi="Times New Roman" w:cs="Times New Roman"/>
          <w:lang w:val="es-CO"/>
        </w:rPr>
        <w:t xml:space="preserve">Por </w:t>
      </w:r>
      <w:r w:rsidR="004C1F48">
        <w:rPr>
          <w:rFonts w:ascii="Times New Roman" w:eastAsia="Times New Roman" w:hAnsi="Times New Roman" w:cs="Times New Roman"/>
          <w:lang w:val="es-CO"/>
        </w:rPr>
        <w:t>su</w:t>
      </w:r>
      <w:r w:rsidRPr="009E5CAA">
        <w:rPr>
          <w:rFonts w:ascii="Times New Roman" w:eastAsia="Times New Roman" w:hAnsi="Times New Roman" w:cs="Times New Roman"/>
          <w:lang w:val="es-CO"/>
        </w:rPr>
        <w:t xml:space="preserve"> parte, Fernanda Restrepo, creadora del colectivo Ni una Palmadita Más, ha venido acompañando decenas de casos de violencia vicaria desde su rol de activista y comunicadora. Restrepo ha denunciado cómo, a través de decisiones judiciales aparentemente “neutrales”, se perpetúa una violencia simbólica e institucional contra las madres, quienes son sometidas a la sospecha constante de manipulación, mientras los agresores son presentados como víctimas del sistema. Desde su espacio de lucha, ha documentado patrones, denunciado actores involucrados y creado redes de contención que hoy son refugio para cientos de mujeres.</w:t>
      </w:r>
    </w:p>
    <w:p w14:paraId="52E3E54A" w14:textId="77777777" w:rsidR="009E5CAA" w:rsidRPr="009E5CAA" w:rsidRDefault="009E5CAA" w:rsidP="009E5CAA">
      <w:pPr>
        <w:spacing w:before="240" w:after="240" w:line="276" w:lineRule="auto"/>
        <w:jc w:val="both"/>
        <w:rPr>
          <w:rFonts w:ascii="Times New Roman" w:eastAsia="Times New Roman" w:hAnsi="Times New Roman" w:cs="Times New Roman"/>
          <w:lang w:val="es-CO"/>
        </w:rPr>
      </w:pPr>
      <w:r w:rsidRPr="009E5CAA">
        <w:rPr>
          <w:rFonts w:ascii="Times New Roman" w:eastAsia="Times New Roman" w:hAnsi="Times New Roman" w:cs="Times New Roman"/>
          <w:lang w:val="es-CO"/>
        </w:rPr>
        <w:t>Finalmente, es imposible no resaltar el compromiso y la voz de Ximena Ordoñez, fundadora de la Fundación Colombiana Contra la Violencia Vicaria, quien en su discurso ante el Concejo de Bogotá expresó con contundencia:</w:t>
      </w:r>
    </w:p>
    <w:p w14:paraId="0BE02087" w14:textId="77777777" w:rsidR="009E5CAA" w:rsidRPr="009E5CAA" w:rsidRDefault="009E5CAA" w:rsidP="00934894">
      <w:pPr>
        <w:spacing w:before="240" w:after="240" w:line="276" w:lineRule="auto"/>
        <w:jc w:val="both"/>
        <w:rPr>
          <w:rFonts w:ascii="Times New Roman" w:eastAsia="Times New Roman" w:hAnsi="Times New Roman" w:cs="Times New Roman"/>
          <w:i/>
          <w:iCs/>
          <w:lang w:val="es-CO"/>
        </w:rPr>
      </w:pPr>
      <w:r w:rsidRPr="009E5CAA">
        <w:rPr>
          <w:rFonts w:ascii="Times New Roman" w:eastAsia="Times New Roman" w:hAnsi="Times New Roman" w:cs="Times New Roman"/>
          <w:i/>
          <w:iCs/>
          <w:lang w:val="es-CO"/>
        </w:rPr>
        <w:t>"Hoy me presento ante ustedes con el corazón lleno de gratitud. Agradezco profundamente al Concejo de Bogotá por abrir un espacio de escucha, de verdad y de dignidad para las víctimas de violencia vicaria.</w:t>
      </w:r>
    </w:p>
    <w:p w14:paraId="304C89F3" w14:textId="77777777" w:rsidR="009E5CAA" w:rsidRPr="009E5CAA" w:rsidRDefault="009E5CAA" w:rsidP="00934894">
      <w:pPr>
        <w:spacing w:before="240" w:after="240" w:line="276" w:lineRule="auto"/>
        <w:jc w:val="both"/>
        <w:rPr>
          <w:rFonts w:ascii="Times New Roman" w:eastAsia="Times New Roman" w:hAnsi="Times New Roman" w:cs="Times New Roman"/>
          <w:i/>
          <w:iCs/>
          <w:lang w:val="es-CO"/>
        </w:rPr>
      </w:pPr>
      <w:r w:rsidRPr="009E5CAA">
        <w:rPr>
          <w:rFonts w:ascii="Times New Roman" w:eastAsia="Times New Roman" w:hAnsi="Times New Roman" w:cs="Times New Roman"/>
          <w:i/>
          <w:iCs/>
          <w:lang w:val="es-CO"/>
        </w:rPr>
        <w:t>Al darle voz a este dolor silenciado por años, no solo nos reconocen, también nos reivindican. Cada palabra que hoy se escucha en este recinto es un paso hacia la justicia, hacia la reparación, y hacia una sociedad que protege la vida, la maternidad y la infancia.</w:t>
      </w:r>
    </w:p>
    <w:p w14:paraId="0354FDE2" w14:textId="77777777" w:rsidR="009E5CAA" w:rsidRPr="009E5CAA" w:rsidRDefault="009E5CAA" w:rsidP="00934894">
      <w:pPr>
        <w:spacing w:before="240" w:after="240" w:line="276" w:lineRule="auto"/>
        <w:jc w:val="both"/>
        <w:rPr>
          <w:rFonts w:ascii="Times New Roman" w:eastAsia="Times New Roman" w:hAnsi="Times New Roman" w:cs="Times New Roman"/>
          <w:i/>
          <w:iCs/>
          <w:lang w:val="es-CO"/>
        </w:rPr>
      </w:pPr>
      <w:r w:rsidRPr="009E5CAA">
        <w:rPr>
          <w:rFonts w:ascii="Times New Roman" w:eastAsia="Times New Roman" w:hAnsi="Times New Roman" w:cs="Times New Roman"/>
          <w:i/>
          <w:iCs/>
          <w:lang w:val="es-CO"/>
        </w:rPr>
        <w:t>La violencia vicaria no es un tema privado, es una herida social que atraviesa cuerpos, hogares y generaciones. Por eso, este gesto del Concejo no es solo simbólico: es histórico. Porque cuando las instituciones escuchan, el dolor se transforma en fuerza, y la esperanza vuelve a nacer.</w:t>
      </w:r>
    </w:p>
    <w:p w14:paraId="6E9C68F7" w14:textId="77777777" w:rsidR="009E5CAA" w:rsidRPr="009E5CAA" w:rsidRDefault="009E5CAA" w:rsidP="00934894">
      <w:pPr>
        <w:spacing w:before="240" w:after="240" w:line="276" w:lineRule="auto"/>
        <w:jc w:val="both"/>
        <w:rPr>
          <w:rFonts w:ascii="Times New Roman" w:eastAsia="Times New Roman" w:hAnsi="Times New Roman" w:cs="Times New Roman"/>
          <w:i/>
          <w:iCs/>
          <w:lang w:val="es-CO"/>
        </w:rPr>
      </w:pPr>
      <w:r w:rsidRPr="009E5CAA">
        <w:rPr>
          <w:rFonts w:ascii="Times New Roman" w:eastAsia="Times New Roman" w:hAnsi="Times New Roman" w:cs="Times New Roman"/>
          <w:i/>
          <w:iCs/>
          <w:lang w:val="es-CO"/>
        </w:rPr>
        <w:t>Gracias por dignificar nuestra lucha. Gracias por convertir el dolor en política pública. Gracias por estar del lado de la justicia y de la vida.</w:t>
      </w:r>
    </w:p>
    <w:p w14:paraId="0173CFD6" w14:textId="77777777" w:rsidR="009E5CAA" w:rsidRPr="009E5CAA" w:rsidRDefault="009E5CAA" w:rsidP="00934894">
      <w:pPr>
        <w:spacing w:before="240" w:after="240" w:line="276" w:lineRule="auto"/>
        <w:jc w:val="both"/>
        <w:rPr>
          <w:rFonts w:ascii="Times New Roman" w:eastAsia="Times New Roman" w:hAnsi="Times New Roman" w:cs="Times New Roman"/>
          <w:i/>
          <w:iCs/>
          <w:lang w:val="es-CO"/>
        </w:rPr>
      </w:pPr>
      <w:r w:rsidRPr="009E5CAA">
        <w:rPr>
          <w:rFonts w:ascii="Times New Roman" w:eastAsia="Times New Roman" w:hAnsi="Times New Roman" w:cs="Times New Roman"/>
          <w:i/>
          <w:iCs/>
          <w:lang w:val="es-CO"/>
        </w:rPr>
        <w:t>Seguimos caminando, con la verdad como estandarte y con la certeza de que nunca más estaremos solas."</w:t>
      </w:r>
    </w:p>
    <w:p w14:paraId="33601924" w14:textId="745C8D1A" w:rsidR="009E5CAA" w:rsidRPr="009E5CAA" w:rsidRDefault="009E5CAA" w:rsidP="009E5CAA">
      <w:pPr>
        <w:spacing w:before="240" w:after="240" w:line="276" w:lineRule="auto"/>
        <w:jc w:val="both"/>
        <w:rPr>
          <w:rFonts w:ascii="Times New Roman" w:eastAsia="Times New Roman" w:hAnsi="Times New Roman" w:cs="Times New Roman"/>
          <w:lang w:val="es-CO"/>
        </w:rPr>
      </w:pPr>
      <w:r w:rsidRPr="009E5CAA">
        <w:rPr>
          <w:rFonts w:ascii="Times New Roman" w:eastAsia="Times New Roman" w:hAnsi="Times New Roman" w:cs="Times New Roman"/>
          <w:lang w:val="es-CO"/>
        </w:rPr>
        <w:t>Estas voces dan cuenta de una realidad urgente y dolorosa, pero también del poder transformador de la palabra, la resistencia y la acción colectiva. Incluir estos testimonios en el presente Proyecto de Acuerdo no solo legitima la lucha de las víctimas, sino que le otorga rostro humano a una problemática que exige acción inmediata y decidida por parte de las instituciones del Distrito.</w:t>
      </w:r>
    </w:p>
    <w:p w14:paraId="529351A5" w14:textId="77777777" w:rsidR="00FA65F7" w:rsidRDefault="00D62B5D">
      <w:pPr>
        <w:pBdr>
          <w:top w:val="nil"/>
          <w:left w:val="nil"/>
          <w:bottom w:val="nil"/>
          <w:right w:val="nil"/>
          <w:between w:val="nil"/>
        </w:pBdr>
        <w:jc w:val="both"/>
        <w:rPr>
          <w:rFonts w:ascii="Times New Roman" w:eastAsia="Times New Roman" w:hAnsi="Times New Roman" w:cs="Times New Roman"/>
          <w:b/>
        </w:rPr>
      </w:pPr>
      <w:r>
        <w:rPr>
          <w:rFonts w:ascii="Times New Roman" w:eastAsia="Times New Roman" w:hAnsi="Times New Roman" w:cs="Times New Roman"/>
          <w:b/>
        </w:rPr>
        <w:t xml:space="preserve">V. IMPACTO FISCAL </w:t>
      </w:r>
    </w:p>
    <w:p w14:paraId="78AFFCBB" w14:textId="77777777" w:rsidR="00FA65F7" w:rsidRDefault="00FA65F7">
      <w:pPr>
        <w:pBdr>
          <w:top w:val="nil"/>
          <w:left w:val="nil"/>
          <w:bottom w:val="nil"/>
          <w:right w:val="nil"/>
          <w:between w:val="nil"/>
        </w:pBdr>
        <w:ind w:left="1080"/>
        <w:jc w:val="both"/>
        <w:rPr>
          <w:rFonts w:ascii="Times New Roman" w:eastAsia="Times New Roman" w:hAnsi="Times New Roman" w:cs="Times New Roman"/>
          <w:b/>
        </w:rPr>
      </w:pPr>
    </w:p>
    <w:p w14:paraId="127F9151" w14:textId="77777777" w:rsidR="00FA65F7" w:rsidRDefault="00D62B5D">
      <w:pPr>
        <w:spacing w:line="276" w:lineRule="auto"/>
        <w:jc w:val="both"/>
        <w:rPr>
          <w:rFonts w:ascii="Times New Roman" w:eastAsia="Times New Roman" w:hAnsi="Times New Roman" w:cs="Times New Roman"/>
        </w:rPr>
      </w:pPr>
      <w:r>
        <w:rPr>
          <w:rFonts w:ascii="Times New Roman" w:eastAsia="Times New Roman" w:hAnsi="Times New Roman" w:cs="Times New Roman"/>
        </w:rPr>
        <w:t>De acuerdo con la Ley 819 de 1993 en su artículo 7, “Análisis del impacto fiscal de las normas. En todo momento, el impacto fiscal de cualquier proyecto de ley, ordenanza o acuerdo, que ordene gasto o que otorgue beneficios tributarios, deberá hacerse explícito y deberá ser compatible con el marco fiscal de mediano plazo”.  El presente proyecto de acuerdo no presenta un impacto fiscal, por tanto, ponemos a consideración del Honorable Concejo de Bogotá D.C., la presente iniciativa.</w:t>
      </w:r>
    </w:p>
    <w:p w14:paraId="46B6BDCD" w14:textId="77777777" w:rsidR="00863A90" w:rsidRDefault="00863A90">
      <w:pPr>
        <w:spacing w:line="276" w:lineRule="auto"/>
        <w:jc w:val="both"/>
        <w:rPr>
          <w:rFonts w:ascii="Times New Roman" w:eastAsia="Times New Roman" w:hAnsi="Times New Roman" w:cs="Times New Roman"/>
        </w:rPr>
      </w:pPr>
    </w:p>
    <w:p w14:paraId="2F538920" w14:textId="263BBCB8" w:rsidR="00FA65F7" w:rsidRDefault="00D62B5D">
      <w:pPr>
        <w:spacing w:line="276" w:lineRule="auto"/>
        <w:jc w:val="both"/>
        <w:rPr>
          <w:rFonts w:ascii="Times New Roman" w:eastAsia="Times New Roman" w:hAnsi="Times New Roman" w:cs="Times New Roman"/>
          <w:b/>
        </w:rPr>
      </w:pPr>
      <w:r>
        <w:rPr>
          <w:rFonts w:ascii="Times New Roman" w:eastAsia="Times New Roman" w:hAnsi="Times New Roman" w:cs="Times New Roman"/>
        </w:rPr>
        <w:t xml:space="preserve">De esta manera, ponemos a consideración y estudio de los Honorables </w:t>
      </w:r>
      <w:r w:rsidR="00863A90">
        <w:rPr>
          <w:rFonts w:ascii="Times New Roman" w:eastAsia="Times New Roman" w:hAnsi="Times New Roman" w:cs="Times New Roman"/>
        </w:rPr>
        <w:t>Concejales</w:t>
      </w:r>
      <w:r>
        <w:rPr>
          <w:rFonts w:ascii="Times New Roman" w:eastAsia="Times New Roman" w:hAnsi="Times New Roman" w:cs="Times New Roman"/>
        </w:rPr>
        <w:t xml:space="preserve"> el presente Proyecto de Acuerdo.</w:t>
      </w:r>
    </w:p>
    <w:p w14:paraId="32C054A9" w14:textId="77777777" w:rsidR="00FA65F7" w:rsidRDefault="00FA65F7">
      <w:pPr>
        <w:rPr>
          <w:rFonts w:ascii="Times New Roman" w:eastAsia="Times New Roman" w:hAnsi="Times New Roman" w:cs="Times New Roman"/>
          <w:b/>
        </w:rPr>
      </w:pPr>
    </w:p>
    <w:p w14:paraId="177CAE8A" w14:textId="77777777" w:rsidR="00FA65F7" w:rsidRDefault="00D62B5D">
      <w:pPr>
        <w:rPr>
          <w:rFonts w:ascii="Times New Roman" w:eastAsia="Times New Roman" w:hAnsi="Times New Roman" w:cs="Times New Roman"/>
          <w:b/>
        </w:rPr>
      </w:pPr>
      <w:r>
        <w:rPr>
          <w:rFonts w:ascii="Times New Roman" w:eastAsia="Times New Roman" w:hAnsi="Times New Roman" w:cs="Times New Roman"/>
          <w:b/>
        </w:rPr>
        <w:t>Atentamente,</w:t>
      </w:r>
    </w:p>
    <w:p w14:paraId="2540A120" w14:textId="77777777" w:rsidR="00FA65F7" w:rsidRDefault="00FA65F7">
      <w:pPr>
        <w:rPr>
          <w:rFonts w:ascii="Times New Roman" w:eastAsia="Times New Roman" w:hAnsi="Times New Roman" w:cs="Times New Roman"/>
        </w:rPr>
      </w:pPr>
    </w:p>
    <w:p w14:paraId="0314ED06" w14:textId="77777777" w:rsidR="00863A90" w:rsidRDefault="00863A90">
      <w:pPr>
        <w:rPr>
          <w:rFonts w:ascii="Times New Roman" w:eastAsia="Times New Roman" w:hAnsi="Times New Roman" w:cs="Times New Roman"/>
        </w:rPr>
      </w:pPr>
    </w:p>
    <w:p w14:paraId="3B721CEC" w14:textId="77777777" w:rsidR="00FA65F7" w:rsidRPr="00863A90" w:rsidRDefault="00FA65F7">
      <w:pPr>
        <w:rPr>
          <w:rFonts w:ascii="Times New Roman" w:eastAsia="Times New Roman" w:hAnsi="Times New Roman" w:cs="Times New Roman"/>
          <w:sz w:val="16"/>
          <w:szCs w:val="16"/>
        </w:rPr>
      </w:pPr>
    </w:p>
    <w:p w14:paraId="6F51DB65" w14:textId="77777777" w:rsidR="00FA65F7" w:rsidRPr="00863A90" w:rsidRDefault="00FA65F7">
      <w:pPr>
        <w:rPr>
          <w:rFonts w:ascii="Times New Roman" w:eastAsia="Times New Roman" w:hAnsi="Times New Roman" w:cs="Times New Roman"/>
          <w:sz w:val="16"/>
          <w:szCs w:val="16"/>
        </w:rPr>
      </w:pPr>
    </w:p>
    <w:p w14:paraId="2464B205" w14:textId="77777777" w:rsidR="00863A90" w:rsidRPr="00863A90" w:rsidRDefault="00863A90">
      <w:pPr>
        <w:rPr>
          <w:rFonts w:ascii="Times New Roman" w:eastAsia="Times New Roman" w:hAnsi="Times New Roman" w:cs="Times New Roman"/>
          <w:sz w:val="16"/>
          <w:szCs w:val="16"/>
        </w:rPr>
      </w:pPr>
    </w:p>
    <w:p w14:paraId="325AB0EC" w14:textId="77777777" w:rsidR="00FA65F7" w:rsidRDefault="00D62B5D">
      <w:pPr>
        <w:rPr>
          <w:rFonts w:ascii="Times New Roman" w:eastAsia="Times New Roman" w:hAnsi="Times New Roman" w:cs="Times New Roman"/>
          <w:b/>
        </w:rPr>
      </w:pPr>
      <w:r>
        <w:rPr>
          <w:rFonts w:ascii="Times New Roman" w:eastAsia="Times New Roman" w:hAnsi="Times New Roman" w:cs="Times New Roman"/>
          <w:b/>
        </w:rPr>
        <w:t>JULIÁN FELIPE TRIANA VARGAS                          EMEL ROJAS CASTILLO</w:t>
      </w:r>
    </w:p>
    <w:p w14:paraId="5C4211B1" w14:textId="77777777" w:rsidR="00FA65F7" w:rsidRDefault="00D62B5D">
      <w:pPr>
        <w:rPr>
          <w:rFonts w:ascii="Times New Roman" w:eastAsia="Times New Roman" w:hAnsi="Times New Roman" w:cs="Times New Roman"/>
        </w:rPr>
      </w:pPr>
      <w:r>
        <w:rPr>
          <w:rFonts w:ascii="Times New Roman" w:eastAsia="Times New Roman" w:hAnsi="Times New Roman" w:cs="Times New Roman"/>
        </w:rPr>
        <w:t>Concejal de Bogotá D.C.                                                  Concejal de Bogotá D.C.</w:t>
      </w:r>
    </w:p>
    <w:p w14:paraId="6DADA9D6" w14:textId="77777777" w:rsidR="00FA65F7" w:rsidRDefault="00D62B5D">
      <w:pPr>
        <w:rPr>
          <w:rFonts w:ascii="Times New Roman" w:eastAsia="Times New Roman" w:hAnsi="Times New Roman" w:cs="Times New Roman"/>
        </w:rPr>
      </w:pPr>
      <w:r>
        <w:rPr>
          <w:rFonts w:ascii="Times New Roman" w:eastAsia="Times New Roman" w:hAnsi="Times New Roman" w:cs="Times New Roman"/>
        </w:rPr>
        <w:t>Partido Alianza Verde.                                                      Partido Nueva Fuerza Democrática</w:t>
      </w:r>
    </w:p>
    <w:p w14:paraId="2761772E"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08706D12"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2E2BBB3F"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4BA31448"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2B1D240D"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574BF382"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2B4FD70A"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6CA59B3F" w14:textId="77777777" w:rsidR="00934894" w:rsidRDefault="00934894" w:rsidP="00934894">
      <w:pPr>
        <w:pBdr>
          <w:top w:val="nil"/>
          <w:left w:val="nil"/>
          <w:bottom w:val="nil"/>
          <w:right w:val="nil"/>
          <w:between w:val="nil"/>
        </w:pBdr>
        <w:rPr>
          <w:rFonts w:ascii="Times New Roman" w:eastAsia="Times New Roman" w:hAnsi="Times New Roman" w:cs="Times New Roman"/>
          <w:b/>
        </w:rPr>
      </w:pPr>
    </w:p>
    <w:p w14:paraId="2C09928E"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18411716"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1199825F"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1B383B14"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30CC9058"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17F56B19"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37B195DC"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48BCAF14"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471E79ED" w14:textId="77777777" w:rsidR="009757B0" w:rsidRDefault="009757B0" w:rsidP="00934894">
      <w:pPr>
        <w:pBdr>
          <w:top w:val="nil"/>
          <w:left w:val="nil"/>
          <w:bottom w:val="nil"/>
          <w:right w:val="nil"/>
          <w:between w:val="nil"/>
        </w:pBdr>
        <w:rPr>
          <w:rFonts w:ascii="Times New Roman" w:eastAsia="Times New Roman" w:hAnsi="Times New Roman" w:cs="Times New Roman"/>
          <w:b/>
        </w:rPr>
      </w:pPr>
    </w:p>
    <w:p w14:paraId="283E1F0E" w14:textId="51939FAC" w:rsidR="00FA65F7" w:rsidRDefault="00D62B5D">
      <w:pPr>
        <w:numPr>
          <w:ilvl w:val="0"/>
          <w:numId w:val="2"/>
        </w:num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 xml:space="preserve">ARTICULADO </w:t>
      </w:r>
    </w:p>
    <w:p w14:paraId="723A2D61" w14:textId="77777777" w:rsidR="00FA65F7" w:rsidRDefault="00FA65F7">
      <w:pPr>
        <w:pBdr>
          <w:top w:val="nil"/>
          <w:left w:val="nil"/>
          <w:bottom w:val="nil"/>
          <w:right w:val="nil"/>
          <w:between w:val="nil"/>
        </w:pBdr>
        <w:rPr>
          <w:rFonts w:ascii="Times New Roman" w:eastAsia="Times New Roman" w:hAnsi="Times New Roman" w:cs="Times New Roman"/>
          <w:b/>
        </w:rPr>
      </w:pPr>
    </w:p>
    <w:p w14:paraId="3CEBE583" w14:textId="77777777" w:rsidR="00FA65F7" w:rsidRDefault="00FA65F7">
      <w:pPr>
        <w:pBdr>
          <w:top w:val="nil"/>
          <w:left w:val="nil"/>
          <w:bottom w:val="nil"/>
          <w:right w:val="nil"/>
          <w:between w:val="nil"/>
        </w:pBdr>
        <w:rPr>
          <w:rFonts w:ascii="Times New Roman" w:eastAsia="Times New Roman" w:hAnsi="Times New Roman" w:cs="Times New Roman"/>
          <w:b/>
        </w:rPr>
      </w:pPr>
    </w:p>
    <w:p w14:paraId="40D0B56C" w14:textId="77777777" w:rsidR="00FA65F7" w:rsidRDefault="00D62B5D">
      <w:pPr>
        <w:spacing w:before="240" w:after="240"/>
        <w:jc w:val="center"/>
        <w:rPr>
          <w:rFonts w:ascii="Times New Roman" w:eastAsia="Times New Roman" w:hAnsi="Times New Roman" w:cs="Times New Roman"/>
          <w:b/>
        </w:rPr>
      </w:pPr>
      <w:r>
        <w:rPr>
          <w:rFonts w:ascii="Times New Roman" w:eastAsia="Times New Roman" w:hAnsi="Times New Roman" w:cs="Times New Roman"/>
          <w:b/>
        </w:rPr>
        <w:t>PROYECTO DE ACUERDO No. ____ DE  2025</w:t>
      </w:r>
    </w:p>
    <w:p w14:paraId="21CCBA1E" w14:textId="77777777" w:rsidR="00FA65F7" w:rsidRDefault="00D62B5D">
      <w:pPr>
        <w:spacing w:before="240" w:after="240"/>
        <w:jc w:val="center"/>
        <w:rPr>
          <w:rFonts w:ascii="Times New Roman" w:eastAsia="Times New Roman" w:hAnsi="Times New Roman" w:cs="Times New Roman"/>
          <w:b/>
        </w:rPr>
      </w:pPr>
      <w:r>
        <w:rPr>
          <w:rFonts w:ascii="Times New Roman" w:eastAsia="Times New Roman" w:hAnsi="Times New Roman" w:cs="Times New Roman"/>
          <w:b/>
        </w:rPr>
        <w:t>"POR MEDIO DEL CUAL SE ESTABLECE EL DÍA DISTRITAL CONTRA LA VIOLENCIA VICARIA Y SE IMPLEMENTAN ACCIONES PARA SU PREVENCIÓN, SENSIBILIZACIÓN Y ATENCIÓN EN EL DISTRITO CAPITAL"</w:t>
      </w:r>
    </w:p>
    <w:p w14:paraId="460CC81F" w14:textId="77777777" w:rsidR="00FA65F7" w:rsidRDefault="00FA65F7">
      <w:pPr>
        <w:spacing w:after="160"/>
        <w:ind w:left="2800" w:right="2740"/>
        <w:jc w:val="center"/>
        <w:rPr>
          <w:rFonts w:ascii="Times New Roman" w:eastAsia="Times New Roman" w:hAnsi="Times New Roman" w:cs="Times New Roman"/>
          <w:b/>
          <w:highlight w:val="yellow"/>
        </w:rPr>
      </w:pPr>
    </w:p>
    <w:p w14:paraId="73662214" w14:textId="77777777" w:rsidR="00FA65F7" w:rsidRDefault="00D62B5D">
      <w:pPr>
        <w:spacing w:after="160"/>
        <w:ind w:left="2800" w:right="2740"/>
        <w:jc w:val="center"/>
        <w:rPr>
          <w:rFonts w:ascii="Times New Roman" w:eastAsia="Times New Roman" w:hAnsi="Times New Roman" w:cs="Times New Roman"/>
          <w:b/>
          <w:color w:val="010101"/>
        </w:rPr>
      </w:pPr>
      <w:r>
        <w:rPr>
          <w:rFonts w:ascii="Times New Roman" w:eastAsia="Times New Roman" w:hAnsi="Times New Roman" w:cs="Times New Roman"/>
          <w:b/>
          <w:color w:val="010101"/>
        </w:rPr>
        <w:t>El Concejo de Bogotá</w:t>
      </w:r>
    </w:p>
    <w:p w14:paraId="30364AC9" w14:textId="77777777" w:rsidR="00FA65F7" w:rsidRDefault="00D62B5D">
      <w:pPr>
        <w:spacing w:after="240"/>
        <w:jc w:val="center"/>
        <w:rPr>
          <w:rFonts w:ascii="Times New Roman" w:eastAsia="Times New Roman" w:hAnsi="Times New Roman" w:cs="Times New Roman"/>
        </w:rPr>
      </w:pPr>
      <w:r>
        <w:rPr>
          <w:rFonts w:ascii="Times New Roman" w:eastAsia="Times New Roman" w:hAnsi="Times New Roman" w:cs="Times New Roman"/>
          <w:b/>
        </w:rPr>
        <w:t xml:space="preserve"> </w:t>
      </w:r>
      <w:r>
        <w:rPr>
          <w:rFonts w:ascii="Times New Roman" w:eastAsia="Times New Roman" w:hAnsi="Times New Roman" w:cs="Times New Roman"/>
          <w:color w:val="010101"/>
        </w:rPr>
        <w:t>En ejercicio de sus atribuciones constitucionales y legales y, en especial, las que le confieren los numerales 1 y 13 del Artículo 12 del Decreto Ley 1421 de 1993.</w:t>
      </w:r>
    </w:p>
    <w:p w14:paraId="2DDFBBB1" w14:textId="77777777" w:rsidR="00FA65F7" w:rsidRDefault="00FA65F7">
      <w:pPr>
        <w:spacing w:line="242" w:lineRule="auto"/>
        <w:ind w:left="200" w:right="140"/>
        <w:jc w:val="center"/>
        <w:rPr>
          <w:rFonts w:ascii="Times New Roman" w:eastAsia="Times New Roman" w:hAnsi="Times New Roman" w:cs="Times New Roman"/>
        </w:rPr>
      </w:pPr>
    </w:p>
    <w:p w14:paraId="7B303164" w14:textId="77777777" w:rsidR="00FA65F7" w:rsidRDefault="00D62B5D">
      <w:pPr>
        <w:spacing w:after="160"/>
        <w:ind w:left="2800" w:right="2740"/>
        <w:jc w:val="center"/>
        <w:rPr>
          <w:rFonts w:ascii="Times New Roman" w:eastAsia="Times New Roman" w:hAnsi="Times New Roman" w:cs="Times New Roman"/>
          <w:b/>
          <w:color w:val="010101"/>
        </w:rPr>
      </w:pPr>
      <w:r>
        <w:rPr>
          <w:rFonts w:ascii="Times New Roman" w:eastAsia="Times New Roman" w:hAnsi="Times New Roman" w:cs="Times New Roman"/>
          <w:b/>
          <w:color w:val="010101"/>
        </w:rPr>
        <w:t>Considerando</w:t>
      </w:r>
    </w:p>
    <w:p w14:paraId="02E3BD19" w14:textId="77777777" w:rsidR="00FA65F7" w:rsidRDefault="00D62B5D">
      <w:pPr>
        <w:spacing w:before="240" w:after="240"/>
        <w:jc w:val="both"/>
        <w:rPr>
          <w:rFonts w:ascii="Times New Roman" w:eastAsia="Times New Roman" w:hAnsi="Times New Roman" w:cs="Times New Roman"/>
          <w:color w:val="010101"/>
        </w:rPr>
      </w:pPr>
      <w:r>
        <w:rPr>
          <w:rFonts w:ascii="Times New Roman" w:eastAsia="Times New Roman" w:hAnsi="Times New Roman" w:cs="Times New Roman"/>
          <w:color w:val="010101"/>
        </w:rPr>
        <w:t>La Constitución Política de Colombia, en su artículo 13, establece el derecho a la igualdad y la obligación del Estado de garantizar la protección especial a aquellas personas que se encuentren en situación de vulnerabilidad.</w:t>
      </w:r>
    </w:p>
    <w:p w14:paraId="75DA0D9E" w14:textId="77777777" w:rsidR="00FA65F7" w:rsidRDefault="00D62B5D">
      <w:pPr>
        <w:spacing w:before="240" w:after="240"/>
        <w:jc w:val="both"/>
        <w:rPr>
          <w:rFonts w:ascii="Times New Roman" w:eastAsia="Times New Roman" w:hAnsi="Times New Roman" w:cs="Times New Roman"/>
          <w:color w:val="010101"/>
        </w:rPr>
      </w:pPr>
      <w:r>
        <w:rPr>
          <w:rFonts w:ascii="Times New Roman" w:eastAsia="Times New Roman" w:hAnsi="Times New Roman" w:cs="Times New Roman"/>
          <w:color w:val="010101"/>
        </w:rPr>
        <w:t>La Ley 1257 de 2008 establece medidas de prevención, protección y atención en casos de violencia contra las mujeres y promueve la erradicación de todas las formas de violencia de género.</w:t>
      </w:r>
    </w:p>
    <w:p w14:paraId="494966AE" w14:textId="77777777" w:rsidR="00FA65F7" w:rsidRDefault="00D62B5D">
      <w:pPr>
        <w:spacing w:before="240" w:after="240"/>
        <w:jc w:val="both"/>
        <w:rPr>
          <w:rFonts w:ascii="Times New Roman" w:eastAsia="Times New Roman" w:hAnsi="Times New Roman" w:cs="Times New Roman"/>
          <w:color w:val="010101"/>
        </w:rPr>
      </w:pPr>
      <w:r>
        <w:rPr>
          <w:rFonts w:ascii="Times New Roman" w:eastAsia="Times New Roman" w:hAnsi="Times New Roman" w:cs="Times New Roman"/>
          <w:color w:val="010101"/>
        </w:rPr>
        <w:t>El Código de Infancia y Adolescencia (Ley 1098 de 2006) protege el interés superior de niños, niñas y adolescentes, señalando la obligación del Estado de garantizar entornos libres de violencia para su desarrollo integral.</w:t>
      </w:r>
    </w:p>
    <w:p w14:paraId="1FF4EA91" w14:textId="77777777" w:rsidR="00FA65F7" w:rsidRDefault="00D62B5D">
      <w:pPr>
        <w:spacing w:before="240" w:after="240"/>
        <w:jc w:val="both"/>
        <w:rPr>
          <w:rFonts w:ascii="Times New Roman" w:eastAsia="Times New Roman" w:hAnsi="Times New Roman" w:cs="Times New Roman"/>
          <w:color w:val="010101"/>
        </w:rPr>
      </w:pPr>
      <w:r>
        <w:rPr>
          <w:rFonts w:ascii="Times New Roman" w:eastAsia="Times New Roman" w:hAnsi="Times New Roman" w:cs="Times New Roman"/>
          <w:color w:val="010101"/>
        </w:rPr>
        <w:t>El Decreto 2733 de 2012 reglamenta la organización y funcionamiento de las Comisarías de Familia y establece su competencia para la protección de víctimas de violencia intrafamiliar.</w:t>
      </w:r>
    </w:p>
    <w:p w14:paraId="11D78FD9" w14:textId="77777777" w:rsidR="00FA65F7" w:rsidRDefault="00D62B5D">
      <w:pPr>
        <w:spacing w:before="240" w:after="240"/>
        <w:jc w:val="both"/>
        <w:rPr>
          <w:rFonts w:ascii="Times New Roman" w:eastAsia="Times New Roman" w:hAnsi="Times New Roman" w:cs="Times New Roman"/>
          <w:color w:val="010101"/>
        </w:rPr>
      </w:pPr>
      <w:r>
        <w:rPr>
          <w:rFonts w:ascii="Times New Roman" w:eastAsia="Times New Roman" w:hAnsi="Times New Roman" w:cs="Times New Roman"/>
          <w:color w:val="010101"/>
        </w:rPr>
        <w:t>Es necesario fortalecer la capacidad institucional para identificar y actuar frente a la violencia vicaria en Bogotá, especialmente en las Comisarías de Familia y Casas de Justicia, garantizando que el personal tenga la formación adecuada para abordar estos casos con enfoque de género y derechos humanos</w:t>
      </w:r>
    </w:p>
    <w:p w14:paraId="15B64323" w14:textId="77777777" w:rsidR="00FA65F7" w:rsidRDefault="00FA65F7">
      <w:pPr>
        <w:spacing w:before="240" w:after="240"/>
        <w:jc w:val="both"/>
        <w:rPr>
          <w:rFonts w:ascii="Times New Roman" w:eastAsia="Times New Roman" w:hAnsi="Times New Roman" w:cs="Times New Roman"/>
          <w:color w:val="010101"/>
          <w:highlight w:val="yellow"/>
        </w:rPr>
      </w:pPr>
    </w:p>
    <w:p w14:paraId="0C3A5E40" w14:textId="77777777" w:rsidR="00FA65F7" w:rsidRDefault="00D62B5D">
      <w:pPr>
        <w:spacing w:after="160"/>
        <w:ind w:left="2800" w:right="2740"/>
        <w:jc w:val="center"/>
        <w:rPr>
          <w:rFonts w:ascii="Times New Roman" w:eastAsia="Times New Roman" w:hAnsi="Times New Roman" w:cs="Times New Roman"/>
          <w:b/>
          <w:color w:val="010101"/>
        </w:rPr>
      </w:pPr>
      <w:r>
        <w:rPr>
          <w:rFonts w:ascii="Times New Roman" w:eastAsia="Times New Roman" w:hAnsi="Times New Roman" w:cs="Times New Roman"/>
          <w:b/>
          <w:color w:val="010101"/>
        </w:rPr>
        <w:t>Acuerda:</w:t>
      </w:r>
    </w:p>
    <w:p w14:paraId="363E6A22" w14:textId="2C93D13B" w:rsidR="00FA65F7" w:rsidRDefault="00D62B5D">
      <w:pPr>
        <w:pStyle w:val="Ttulo3"/>
        <w:keepNext w:val="0"/>
        <w:keepLines w:val="0"/>
        <w:spacing w:line="276" w:lineRule="auto"/>
        <w:jc w:val="both"/>
        <w:rPr>
          <w:rFonts w:ascii="Times New Roman" w:eastAsia="Times New Roman" w:hAnsi="Times New Roman" w:cs="Times New Roman"/>
          <w:b w:val="0"/>
          <w:sz w:val="24"/>
          <w:szCs w:val="24"/>
        </w:rPr>
      </w:pPr>
      <w:bookmarkStart w:id="2" w:name="_heading=h.4ug9p7bgmxhy" w:colFirst="0" w:colLast="0"/>
      <w:bookmarkEnd w:id="2"/>
      <w:r>
        <w:rPr>
          <w:rFonts w:ascii="Times New Roman" w:eastAsia="Times New Roman" w:hAnsi="Times New Roman" w:cs="Times New Roman"/>
          <w:sz w:val="24"/>
          <w:szCs w:val="24"/>
        </w:rPr>
        <w:t xml:space="preserve">ARTÍCULO </w:t>
      </w:r>
      <w:r w:rsidR="00863A90">
        <w:rPr>
          <w:rFonts w:ascii="Times New Roman" w:eastAsia="Times New Roman" w:hAnsi="Times New Roman" w:cs="Times New Roman"/>
          <w:sz w:val="24"/>
          <w:szCs w:val="24"/>
        </w:rPr>
        <w:t>1. Objeto</w:t>
      </w:r>
      <w:r>
        <w:rPr>
          <w:rFonts w:ascii="Times New Roman" w:eastAsia="Times New Roman" w:hAnsi="Times New Roman" w:cs="Times New Roman"/>
          <w:sz w:val="24"/>
          <w:szCs w:val="24"/>
        </w:rPr>
        <w:t xml:space="preserve">. </w:t>
      </w:r>
      <w:r>
        <w:rPr>
          <w:rFonts w:ascii="Times New Roman" w:eastAsia="Times New Roman" w:hAnsi="Times New Roman" w:cs="Times New Roman"/>
          <w:b w:val="0"/>
          <w:sz w:val="24"/>
          <w:szCs w:val="24"/>
        </w:rPr>
        <w:t>El presente Acuerdo tiene por objeto establecer lineamientos para la sensibilización, prevención, atención y erradicación de la violencia vicaria en Bogotá, D.C., reconociéndola como una forma de violencia basada en género que afecta principalmente a mujeres.</w:t>
      </w:r>
    </w:p>
    <w:p w14:paraId="137A6CA0" w14:textId="77777777" w:rsidR="00FA65F7" w:rsidRDefault="00D62B5D">
      <w:pPr>
        <w:pStyle w:val="Ttulo3"/>
        <w:keepNext w:val="0"/>
        <w:keepLines w:val="0"/>
        <w:spacing w:line="276" w:lineRule="auto"/>
        <w:jc w:val="both"/>
        <w:rPr>
          <w:rFonts w:ascii="Times New Roman" w:eastAsia="Times New Roman" w:hAnsi="Times New Roman" w:cs="Times New Roman"/>
          <w:b w:val="0"/>
          <w:sz w:val="24"/>
          <w:szCs w:val="24"/>
        </w:rPr>
      </w:pPr>
      <w:bookmarkStart w:id="3" w:name="_heading=h.4391n2isgba5" w:colFirst="0" w:colLast="0"/>
      <w:bookmarkEnd w:id="3"/>
      <w:r>
        <w:rPr>
          <w:rFonts w:ascii="Times New Roman" w:eastAsia="Times New Roman" w:hAnsi="Times New Roman" w:cs="Times New Roman"/>
          <w:sz w:val="24"/>
          <w:szCs w:val="24"/>
        </w:rPr>
        <w:t xml:space="preserve">ARTÍCULO 2.  Día Distrital contra la Violencia Vicaria. </w:t>
      </w:r>
      <w:r>
        <w:rPr>
          <w:rFonts w:ascii="Times New Roman" w:eastAsia="Times New Roman" w:hAnsi="Times New Roman" w:cs="Times New Roman"/>
          <w:b w:val="0"/>
          <w:sz w:val="24"/>
          <w:szCs w:val="24"/>
        </w:rPr>
        <w:t>Se establece el 11 de mayo de cada año como el Día Distrital contra la Violencia Vicaria, con el objetivo de sensibilizar a la ciudadanía y promover acciones para la prevención y erradicación de esta forma de violencia en Bogotá, D.C.</w:t>
      </w:r>
    </w:p>
    <w:p w14:paraId="5AA5FA89" w14:textId="77777777" w:rsidR="00FA65F7" w:rsidRDefault="00D62B5D">
      <w:pPr>
        <w:pStyle w:val="Ttulo3"/>
        <w:keepNext w:val="0"/>
        <w:keepLines w:val="0"/>
        <w:spacing w:line="276" w:lineRule="auto"/>
        <w:jc w:val="both"/>
      </w:pPr>
      <w:bookmarkStart w:id="4" w:name="_heading=h.ffihiyl4cyoh" w:colFirst="0" w:colLast="0"/>
      <w:bookmarkEnd w:id="4"/>
      <w:r>
        <w:rPr>
          <w:rFonts w:ascii="Times New Roman" w:eastAsia="Times New Roman" w:hAnsi="Times New Roman" w:cs="Times New Roman"/>
          <w:sz w:val="24"/>
          <w:szCs w:val="24"/>
        </w:rPr>
        <w:t xml:space="preserve">ARTÍCULO 3. Jornadas de sensibilización y prevención. </w:t>
      </w:r>
      <w:r>
        <w:rPr>
          <w:rFonts w:ascii="Times New Roman" w:eastAsia="Times New Roman" w:hAnsi="Times New Roman" w:cs="Times New Roman"/>
          <w:b w:val="0"/>
          <w:sz w:val="24"/>
          <w:szCs w:val="24"/>
        </w:rPr>
        <w:t>La Secretaría Distrital de la Mujer, en articulación con la Secretaría de Seguridad, Convivencia y Justicia, desarrollará actividades de concienciación y capacitación sobre violencia vicaria en el marco del Día Distrital contra la Violencia Vicaria. Estas actividades incluirán campañas de difusión, foros, conferencias y espacios de diálogo con expertos y organizaciones de la sociedad civil.</w:t>
      </w:r>
    </w:p>
    <w:p w14:paraId="2C892D64" w14:textId="3A41991C" w:rsidR="00FA65F7" w:rsidRDefault="00D62B5D">
      <w:pPr>
        <w:pStyle w:val="Ttulo3"/>
        <w:keepNext w:val="0"/>
        <w:keepLines w:val="0"/>
        <w:spacing w:line="276" w:lineRule="auto"/>
        <w:jc w:val="both"/>
      </w:pPr>
      <w:bookmarkStart w:id="5" w:name="_heading=h.u4cah7w808m6" w:colFirst="0" w:colLast="0"/>
      <w:bookmarkEnd w:id="5"/>
      <w:r>
        <w:rPr>
          <w:rFonts w:ascii="Times New Roman" w:eastAsia="Times New Roman" w:hAnsi="Times New Roman" w:cs="Times New Roman"/>
          <w:sz w:val="24"/>
          <w:szCs w:val="24"/>
        </w:rPr>
        <w:t xml:space="preserve">ARTÍCULO 4. Capacitación a funcionarios de Comisarías de Familia y Casas de Justicia. </w:t>
      </w:r>
      <w:r>
        <w:rPr>
          <w:rFonts w:ascii="Times New Roman" w:eastAsia="Times New Roman" w:hAnsi="Times New Roman" w:cs="Times New Roman"/>
          <w:b w:val="0"/>
          <w:sz w:val="24"/>
          <w:szCs w:val="24"/>
        </w:rPr>
        <w:t xml:space="preserve">La Administración Distrital garantizará que los programas de formación y capacitación dirigidos a los funcionarios de las Comisarías de Familia y Casas de Justicia, incluyan herramientas para identificar, prevenir y atender casos de violencia vicaria, aplicando un enfoque de </w:t>
      </w:r>
      <w:r w:rsidR="00863A90">
        <w:rPr>
          <w:rFonts w:ascii="Times New Roman" w:eastAsia="Times New Roman" w:hAnsi="Times New Roman" w:cs="Times New Roman"/>
          <w:b w:val="0"/>
          <w:sz w:val="24"/>
          <w:szCs w:val="24"/>
        </w:rPr>
        <w:t>género, rechazando</w:t>
      </w:r>
      <w:r>
        <w:rPr>
          <w:rFonts w:ascii="Times New Roman" w:eastAsia="Times New Roman" w:hAnsi="Times New Roman" w:cs="Times New Roman"/>
          <w:b w:val="0"/>
          <w:sz w:val="24"/>
          <w:szCs w:val="24"/>
        </w:rPr>
        <w:t xml:space="preserve"> la teoría de alienación parental y atendiendo las violencias basadas en género, incluyendo la violencia vicaria, sin que estos conceptos se puedan disociar. </w:t>
      </w:r>
    </w:p>
    <w:p w14:paraId="259F2414" w14:textId="77777777" w:rsidR="00FA65F7" w:rsidRDefault="00D62B5D">
      <w:pPr>
        <w:pStyle w:val="Ttulo3"/>
        <w:keepNext w:val="0"/>
        <w:keepLines w:val="0"/>
        <w:spacing w:line="276" w:lineRule="auto"/>
        <w:jc w:val="both"/>
      </w:pPr>
      <w:bookmarkStart w:id="6" w:name="_heading=h.2rm1onn8fp7t" w:colFirst="0" w:colLast="0"/>
      <w:bookmarkEnd w:id="6"/>
      <w:r>
        <w:rPr>
          <w:rFonts w:ascii="Times New Roman" w:eastAsia="Times New Roman" w:hAnsi="Times New Roman" w:cs="Times New Roman"/>
          <w:sz w:val="24"/>
          <w:szCs w:val="24"/>
        </w:rPr>
        <w:t xml:space="preserve">ARTÍCULO 5. Estrategia de identificación y actuación. </w:t>
      </w:r>
      <w:r>
        <w:rPr>
          <w:rFonts w:ascii="Times New Roman" w:eastAsia="Times New Roman" w:hAnsi="Times New Roman" w:cs="Times New Roman"/>
          <w:b w:val="0"/>
          <w:sz w:val="24"/>
          <w:szCs w:val="24"/>
        </w:rPr>
        <w:t>La Secretaría Distrital de Seguridad, Convivencia y Justicia, en conjunto con la Secretaría Distrital de la Mujer, diseñará e implementará una estrategia de identificación y actuación frente a la violencia vicaria, que incluya un canal de atención a las víctimas que sean revictimizadas por  las instancias de atención a víctimas, garantizando que los casos sean tratados con la debida diligencia y perspectiva de género.</w:t>
      </w:r>
    </w:p>
    <w:p w14:paraId="6537E96E" w14:textId="77777777" w:rsidR="00FA65F7" w:rsidRDefault="00D62B5D">
      <w:pPr>
        <w:pStyle w:val="Ttulo3"/>
        <w:keepNext w:val="0"/>
        <w:keepLines w:val="0"/>
        <w:spacing w:line="276" w:lineRule="auto"/>
        <w:jc w:val="both"/>
        <w:rPr>
          <w:rFonts w:ascii="Times New Roman" w:eastAsia="Times New Roman" w:hAnsi="Times New Roman" w:cs="Times New Roman"/>
          <w:b w:val="0"/>
          <w:sz w:val="24"/>
          <w:szCs w:val="24"/>
        </w:rPr>
      </w:pPr>
      <w:bookmarkStart w:id="7" w:name="_heading=h.x7cfb239rm99" w:colFirst="0" w:colLast="0"/>
      <w:bookmarkEnd w:id="7"/>
      <w:r>
        <w:rPr>
          <w:rFonts w:ascii="Times New Roman" w:eastAsia="Times New Roman" w:hAnsi="Times New Roman" w:cs="Times New Roman"/>
          <w:sz w:val="24"/>
          <w:szCs w:val="24"/>
        </w:rPr>
        <w:t xml:space="preserve">ARTÍCULO 6. Seguimiento y evaluación. </w:t>
      </w:r>
      <w:r>
        <w:rPr>
          <w:rFonts w:ascii="Times New Roman" w:eastAsia="Times New Roman" w:hAnsi="Times New Roman" w:cs="Times New Roman"/>
          <w:b w:val="0"/>
          <w:sz w:val="24"/>
          <w:szCs w:val="24"/>
        </w:rPr>
        <w:t>La Veeduría Distrital, la Personería de Bogotá y el Concejo de Bogotá realizarán seguimiento a la implementación de las acciones previstas en el presente Acuerdo, promoviendo mecanismos de evaluación y mejora continua en la atención de casos de violencia vicaria.</w:t>
      </w:r>
    </w:p>
    <w:p w14:paraId="2D031CD2" w14:textId="77777777" w:rsidR="00FA65F7" w:rsidRDefault="00D62B5D">
      <w:pPr>
        <w:pStyle w:val="Ttulo3"/>
        <w:keepNext w:val="0"/>
        <w:keepLines w:val="0"/>
        <w:spacing w:line="276" w:lineRule="auto"/>
        <w:jc w:val="both"/>
        <w:rPr>
          <w:rFonts w:ascii="Times New Roman" w:eastAsia="Times New Roman" w:hAnsi="Times New Roman" w:cs="Times New Roman"/>
          <w:b w:val="0"/>
          <w:sz w:val="24"/>
          <w:szCs w:val="24"/>
        </w:rPr>
      </w:pPr>
      <w:bookmarkStart w:id="8" w:name="_heading=h.3gk8n98w0j25" w:colFirst="0" w:colLast="0"/>
      <w:bookmarkEnd w:id="8"/>
      <w:r>
        <w:rPr>
          <w:rFonts w:ascii="Times New Roman" w:eastAsia="Times New Roman" w:hAnsi="Times New Roman" w:cs="Times New Roman"/>
          <w:sz w:val="24"/>
          <w:szCs w:val="24"/>
        </w:rPr>
        <w:t xml:space="preserve">ARTÍCULO 7. Vigencia. </w:t>
      </w:r>
      <w:r>
        <w:rPr>
          <w:rFonts w:ascii="Times New Roman" w:eastAsia="Times New Roman" w:hAnsi="Times New Roman" w:cs="Times New Roman"/>
          <w:b w:val="0"/>
          <w:sz w:val="24"/>
          <w:szCs w:val="24"/>
        </w:rPr>
        <w:t>El presente Acuerdo rige a partir de la fecha de su promulgación y publicación conforme a las disposiciones legales vigentes.</w:t>
      </w:r>
    </w:p>
    <w:p w14:paraId="6B75616E" w14:textId="77777777" w:rsidR="00FA65F7" w:rsidRDefault="00FA65F7">
      <w:pPr>
        <w:spacing w:before="240" w:after="240" w:line="276" w:lineRule="auto"/>
        <w:jc w:val="both"/>
        <w:rPr>
          <w:rFonts w:ascii="Times New Roman" w:eastAsia="Times New Roman" w:hAnsi="Times New Roman" w:cs="Times New Roman"/>
        </w:rPr>
      </w:pPr>
    </w:p>
    <w:p w14:paraId="11279B32" w14:textId="77777777" w:rsidR="00FA65F7" w:rsidRDefault="00FA65F7">
      <w:pPr>
        <w:spacing w:before="240" w:after="240" w:line="276" w:lineRule="auto"/>
        <w:jc w:val="both"/>
        <w:rPr>
          <w:rFonts w:ascii="Times New Roman" w:eastAsia="Times New Roman" w:hAnsi="Times New Roman" w:cs="Times New Roman"/>
        </w:rPr>
      </w:pPr>
    </w:p>
    <w:p w14:paraId="377985BC" w14:textId="77777777" w:rsidR="00FA65F7" w:rsidRDefault="00D62B5D">
      <w:pPr>
        <w:spacing w:before="240" w:line="276" w:lineRule="auto"/>
        <w:jc w:val="center"/>
        <w:rPr>
          <w:rFonts w:ascii="Times New Roman" w:eastAsia="Times New Roman" w:hAnsi="Times New Roman" w:cs="Times New Roman"/>
          <w:b/>
          <w:color w:val="333333"/>
          <w:highlight w:val="white"/>
        </w:rPr>
      </w:pPr>
      <w:r>
        <w:rPr>
          <w:rFonts w:ascii="Times New Roman" w:eastAsia="Times New Roman" w:hAnsi="Times New Roman" w:cs="Times New Roman"/>
          <w:b/>
          <w:color w:val="333333"/>
          <w:highlight w:val="white"/>
        </w:rPr>
        <w:t>PUBLÍQUESE Y CÚMPLASE</w:t>
      </w:r>
    </w:p>
    <w:p w14:paraId="4C0C5C75" w14:textId="77777777" w:rsidR="00FA65F7" w:rsidRDefault="00FA65F7">
      <w:pPr>
        <w:spacing w:before="240" w:after="240"/>
        <w:ind w:left="720"/>
        <w:rPr>
          <w:color w:val="333333"/>
          <w:sz w:val="22"/>
          <w:szCs w:val="22"/>
          <w:highlight w:val="white"/>
        </w:rPr>
      </w:pPr>
    </w:p>
    <w:p w14:paraId="1143C235" w14:textId="77777777" w:rsidR="00FA65F7" w:rsidRDefault="00FA65F7">
      <w:pPr>
        <w:pBdr>
          <w:top w:val="nil"/>
          <w:left w:val="nil"/>
          <w:bottom w:val="nil"/>
          <w:right w:val="nil"/>
          <w:between w:val="nil"/>
        </w:pBdr>
        <w:ind w:left="1080"/>
        <w:rPr>
          <w:sz w:val="22"/>
          <w:szCs w:val="22"/>
        </w:rPr>
      </w:pPr>
    </w:p>
    <w:p w14:paraId="6F7E2C97" w14:textId="77777777" w:rsidR="00FA65F7" w:rsidRDefault="00FA65F7">
      <w:pPr>
        <w:rPr>
          <w:sz w:val="22"/>
          <w:szCs w:val="22"/>
        </w:rPr>
      </w:pPr>
    </w:p>
    <w:p w14:paraId="568185AE" w14:textId="77777777" w:rsidR="00FA65F7" w:rsidRDefault="00FA65F7"/>
    <w:sectPr w:rsidR="00FA65F7">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78E9A" w14:textId="77777777" w:rsidR="00D62B5D" w:rsidRDefault="00D62B5D">
      <w:r>
        <w:separator/>
      </w:r>
    </w:p>
  </w:endnote>
  <w:endnote w:type="continuationSeparator" w:id="0">
    <w:p w14:paraId="3DA9E5F4" w14:textId="77777777" w:rsidR="00D62B5D" w:rsidRDefault="00D6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B9304" w14:textId="77777777" w:rsidR="00FA65F7" w:rsidRDefault="00D62B5D">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3E13CBC2" w14:textId="77777777" w:rsidR="00FA65F7" w:rsidRDefault="00FA65F7">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D11F8" w14:textId="77777777" w:rsidR="00FA65F7" w:rsidRDefault="00FA65F7">
    <w:pPr>
      <w:pBdr>
        <w:top w:val="nil"/>
        <w:left w:val="nil"/>
        <w:bottom w:val="nil"/>
        <w:right w:val="nil"/>
        <w:between w:val="nil"/>
      </w:pBdr>
      <w:tabs>
        <w:tab w:val="center" w:pos="4252"/>
        <w:tab w:val="right" w:pos="8504"/>
      </w:tabs>
      <w:jc w:val="center"/>
      <w:rPr>
        <w:sz w:val="18"/>
        <w:szCs w:val="18"/>
      </w:rPr>
    </w:pPr>
  </w:p>
  <w:p w14:paraId="7F174FBA" w14:textId="77777777" w:rsidR="00FA65F7" w:rsidRDefault="00FA65F7">
    <w:pPr>
      <w:pBdr>
        <w:top w:val="nil"/>
        <w:left w:val="nil"/>
        <w:bottom w:val="nil"/>
        <w:right w:val="nil"/>
        <w:between w:val="nil"/>
      </w:pBdr>
      <w:tabs>
        <w:tab w:val="center" w:pos="4252"/>
        <w:tab w:val="right" w:pos="8504"/>
      </w:tabs>
      <w:jc w:val="center"/>
      <w:rPr>
        <w:sz w:val="18"/>
        <w:szCs w:val="18"/>
      </w:rPr>
    </w:pPr>
  </w:p>
  <w:p w14:paraId="3C5A7D7E" w14:textId="77777777" w:rsidR="00FA65F7" w:rsidRDefault="00FA65F7">
    <w:pPr>
      <w:pBdr>
        <w:top w:val="nil"/>
        <w:left w:val="nil"/>
        <w:bottom w:val="nil"/>
        <w:right w:val="nil"/>
        <w:between w:val="nil"/>
      </w:pBdr>
      <w:tabs>
        <w:tab w:val="center" w:pos="4252"/>
        <w:tab w:val="right" w:pos="8504"/>
      </w:tabs>
      <w:jc w:val="center"/>
      <w:rPr>
        <w:sz w:val="16"/>
        <w:szCs w:val="16"/>
      </w:rPr>
    </w:pPr>
  </w:p>
  <w:p w14:paraId="768D2C67" w14:textId="77777777" w:rsidR="00FA65F7" w:rsidRDefault="00FA65F7">
    <w:pPr>
      <w:pBdr>
        <w:top w:val="nil"/>
        <w:left w:val="nil"/>
        <w:bottom w:val="nil"/>
        <w:right w:val="nil"/>
        <w:between w:val="nil"/>
      </w:pBdr>
      <w:tabs>
        <w:tab w:val="center" w:pos="4252"/>
        <w:tab w:val="right" w:pos="8504"/>
      </w:tabs>
      <w:rPr>
        <w:sz w:val="16"/>
        <w:szCs w:val="16"/>
      </w:rPr>
    </w:pPr>
  </w:p>
  <w:p w14:paraId="20ED5F42" w14:textId="77777777" w:rsidR="00FA65F7" w:rsidRDefault="00FA65F7">
    <w:pPr>
      <w:pBdr>
        <w:top w:val="nil"/>
        <w:left w:val="nil"/>
        <w:bottom w:val="nil"/>
        <w:right w:val="nil"/>
        <w:between w:val="nil"/>
      </w:pBdr>
      <w:tabs>
        <w:tab w:val="center" w:pos="4252"/>
        <w:tab w:val="right" w:pos="8504"/>
      </w:tabs>
      <w:rPr>
        <w:sz w:val="16"/>
        <w:szCs w:val="16"/>
      </w:rPr>
    </w:pPr>
  </w:p>
  <w:p w14:paraId="4D6C39EC" w14:textId="77777777" w:rsidR="00FA65F7" w:rsidRDefault="00FA65F7">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C6605" w14:textId="77777777" w:rsidR="00D62B5D" w:rsidRDefault="00D62B5D">
      <w:r>
        <w:separator/>
      </w:r>
    </w:p>
  </w:footnote>
  <w:footnote w:type="continuationSeparator" w:id="0">
    <w:p w14:paraId="41FEA16D" w14:textId="77777777" w:rsidR="00D62B5D" w:rsidRDefault="00D62B5D">
      <w:r>
        <w:continuationSeparator/>
      </w:r>
    </w:p>
  </w:footnote>
  <w:footnote w:id="1">
    <w:p w14:paraId="247B672D" w14:textId="77777777" w:rsidR="00FA65F7" w:rsidRPr="006D74E6" w:rsidRDefault="00D62B5D">
      <w:pPr>
        <w:rPr>
          <w:sz w:val="16"/>
          <w:szCs w:val="16"/>
        </w:rPr>
      </w:pPr>
      <w:r w:rsidRPr="006D74E6">
        <w:rPr>
          <w:sz w:val="16"/>
          <w:szCs w:val="16"/>
          <w:vertAlign w:val="superscript"/>
        </w:rPr>
        <w:footnoteRef/>
      </w:r>
      <w:hyperlink r:id="rId1">
        <w:r w:rsidRPr="006D74E6">
          <w:rPr>
            <w:color w:val="1155CC"/>
            <w:sz w:val="16"/>
            <w:szCs w:val="16"/>
            <w:u w:val="single"/>
          </w:rPr>
          <w:t>https://www.ins.gov.co/Noticias/Paginas/75,6-de-los-casos-registrados-por-violencia-de-g%C3%A9nero-en-2024-son-contra-mujeres.aspx</w:t>
        </w:r>
      </w:hyperlink>
    </w:p>
  </w:footnote>
  <w:footnote w:id="2">
    <w:p w14:paraId="2D31FE51" w14:textId="77777777" w:rsidR="00FA65F7" w:rsidRDefault="00D62B5D">
      <w:pPr>
        <w:rPr>
          <w:sz w:val="18"/>
          <w:szCs w:val="18"/>
        </w:rPr>
      </w:pPr>
      <w:r>
        <w:rPr>
          <w:vertAlign w:val="superscript"/>
        </w:rPr>
        <w:footnoteRef/>
      </w:r>
      <w:r>
        <w:rPr>
          <w:sz w:val="18"/>
          <w:szCs w:val="18"/>
        </w:rPr>
        <w:t xml:space="preserve"> https://violenciavicariacolombia.com/</w:t>
      </w:r>
    </w:p>
  </w:footnote>
  <w:footnote w:id="3">
    <w:p w14:paraId="71F64283" w14:textId="77777777" w:rsidR="00FA65F7" w:rsidRPr="006D74E6" w:rsidRDefault="00D62B5D">
      <w:pPr>
        <w:rPr>
          <w:sz w:val="16"/>
          <w:szCs w:val="16"/>
        </w:rPr>
      </w:pPr>
      <w:r w:rsidRPr="006D74E6">
        <w:rPr>
          <w:sz w:val="16"/>
          <w:szCs w:val="16"/>
          <w:vertAlign w:val="superscript"/>
        </w:rPr>
        <w:footnoteRef/>
      </w:r>
      <w:r w:rsidRPr="006D74E6">
        <w:rPr>
          <w:sz w:val="16"/>
          <w:szCs w:val="16"/>
        </w:rPr>
        <w:t xml:space="preserve"> </w:t>
      </w:r>
      <w:hyperlink r:id="rId2">
        <w:r w:rsidRPr="006D74E6">
          <w:rPr>
            <w:sz w:val="16"/>
            <w:szCs w:val="16"/>
          </w:rPr>
          <w:t xml:space="preserve"> </w:t>
        </w:r>
      </w:hyperlink>
      <w:hyperlink r:id="rId3">
        <w:r w:rsidRPr="006D74E6">
          <w:rPr>
            <w:color w:val="1155CC"/>
            <w:sz w:val="16"/>
            <w:szCs w:val="16"/>
            <w:u w:val="single"/>
          </w:rPr>
          <w:t>https://analitica.scj.gov.co/analytics/saw.dll?Portal</w:t>
        </w:r>
      </w:hyperlink>
    </w:p>
  </w:footnote>
  <w:footnote w:id="4">
    <w:p w14:paraId="0F629AAC" w14:textId="1B70C444" w:rsidR="00FA65F7" w:rsidRPr="006D74E6" w:rsidRDefault="00D62B5D">
      <w:pPr>
        <w:rPr>
          <w:sz w:val="16"/>
          <w:szCs w:val="16"/>
        </w:rPr>
      </w:pPr>
      <w:r w:rsidRPr="006D74E6">
        <w:rPr>
          <w:sz w:val="16"/>
          <w:szCs w:val="16"/>
          <w:vertAlign w:val="superscript"/>
        </w:rPr>
        <w:footnoteRef/>
      </w:r>
      <w:hyperlink r:id="rId4" w:history="1">
        <w:r w:rsidR="006D74E6" w:rsidRPr="006D74E6">
          <w:rPr>
            <w:rStyle w:val="Hipervnculo"/>
            <w:rFonts w:cs="Arial"/>
            <w:sz w:val="16"/>
            <w:szCs w:val="16"/>
          </w:rPr>
          <w:t>file:///Users/catalina/Downloads/Justificacion%20FNCVV-COL%20-%202024_proyectodeley052Congreso_289Senado%20(2).pdf</w:t>
        </w:r>
      </w:hyperlink>
      <w:r w:rsidR="006D74E6" w:rsidRPr="006D74E6">
        <w:rPr>
          <w:sz w:val="16"/>
          <w:szCs w:val="16"/>
        </w:rPr>
        <w:t xml:space="preserve"> </w:t>
      </w:r>
    </w:p>
  </w:footnote>
  <w:footnote w:id="5">
    <w:p w14:paraId="54D46E5B" w14:textId="4B562264" w:rsidR="00FA65F7" w:rsidRDefault="00D62B5D">
      <w:pPr>
        <w:rPr>
          <w:sz w:val="16"/>
          <w:szCs w:val="16"/>
        </w:rPr>
      </w:pPr>
      <w:r w:rsidRPr="006D74E6">
        <w:rPr>
          <w:sz w:val="16"/>
          <w:szCs w:val="16"/>
          <w:vertAlign w:val="superscript"/>
        </w:rPr>
        <w:footnoteRef/>
      </w:r>
      <w:hyperlink r:id="rId5" w:history="1">
        <w:r w:rsidR="006D74E6" w:rsidRPr="006D74E6">
          <w:rPr>
            <w:rStyle w:val="Hipervnculo"/>
            <w:rFonts w:cs="Arial"/>
            <w:sz w:val="16"/>
            <w:szCs w:val="16"/>
          </w:rPr>
          <w:t>https://www.semana.com/nacion/articulo/planton-en-los-juzgados-de-paloquemao-para-exigir-avances-en-investigacion-del-cartel-de-la-infancia/202258/</w:t>
        </w:r>
      </w:hyperlink>
      <w:r w:rsidR="006D74E6">
        <w:rPr>
          <w:sz w:val="16"/>
          <w:szCs w:val="16"/>
        </w:rPr>
        <w:t xml:space="preserve"> </w:t>
      </w:r>
    </w:p>
  </w:footnote>
  <w:footnote w:id="6">
    <w:p w14:paraId="749A89E6" w14:textId="77777777" w:rsidR="00FA65F7" w:rsidRPr="006D74E6" w:rsidRDefault="00D62B5D">
      <w:pPr>
        <w:rPr>
          <w:sz w:val="16"/>
          <w:szCs w:val="16"/>
        </w:rPr>
      </w:pPr>
      <w:r w:rsidRPr="006D74E6">
        <w:rPr>
          <w:sz w:val="16"/>
          <w:szCs w:val="16"/>
          <w:vertAlign w:val="superscript"/>
        </w:rPr>
        <w:footnoteRef/>
      </w:r>
      <w:r w:rsidRPr="006D74E6">
        <w:rPr>
          <w:sz w:val="16"/>
          <w:szCs w:val="16"/>
        </w:rPr>
        <w:t xml:space="preserve"> </w:t>
      </w:r>
      <w:hyperlink r:id="rId6">
        <w:r w:rsidRPr="006D74E6">
          <w:rPr>
            <w:color w:val="1155CC"/>
            <w:sz w:val="16"/>
            <w:szCs w:val="16"/>
            <w:u w:val="single"/>
          </w:rPr>
          <w:t>https://www.boe.es/buscar/act.php?id=BOE-A-2004-21760</w:t>
        </w:r>
      </w:hyperlink>
    </w:p>
  </w:footnote>
  <w:footnote w:id="7">
    <w:p w14:paraId="67A92B85" w14:textId="77777777" w:rsidR="00FA65F7" w:rsidRDefault="00D62B5D">
      <w:pPr>
        <w:rPr>
          <w:sz w:val="12"/>
          <w:szCs w:val="12"/>
        </w:rPr>
      </w:pPr>
      <w:r w:rsidRPr="006D74E6">
        <w:rPr>
          <w:sz w:val="16"/>
          <w:szCs w:val="16"/>
          <w:vertAlign w:val="superscript"/>
        </w:rPr>
        <w:footnoteRef/>
      </w:r>
      <w:r w:rsidRPr="006D74E6">
        <w:rPr>
          <w:sz w:val="16"/>
          <w:szCs w:val="16"/>
        </w:rPr>
        <w:t xml:space="preserve"> </w:t>
      </w:r>
      <w:hyperlink r:id="rId7" w:anchor="df-9">
        <w:r w:rsidRPr="006D74E6">
          <w:rPr>
            <w:rFonts w:ascii="Verdana" w:eastAsia="Verdana" w:hAnsi="Verdana" w:cs="Verdana"/>
            <w:color w:val="1155CC"/>
            <w:sz w:val="16"/>
            <w:szCs w:val="16"/>
            <w:u w:val="single"/>
          </w:rPr>
          <w:t>Ref. BOE-A-2022-14630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5" w14:textId="77777777" w:rsidR="00FA65F7" w:rsidRDefault="00FA65F7">
    <w:pPr>
      <w:spacing w:before="240" w:after="240" w:line="276" w:lineRule="auto"/>
      <w:jc w:val="both"/>
      <w:rPr>
        <w:rFonts w:ascii="Times New Roman" w:eastAsia="Times New Roman" w:hAnsi="Times New Roman" w:cs="Times New Roman"/>
      </w:rPr>
    </w:pPr>
  </w:p>
  <w:tbl>
    <w:tblPr>
      <w:tblStyle w:val="a4"/>
      <w:tblW w:w="883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1"/>
      <w:gridCol w:w="4235"/>
      <w:gridCol w:w="2234"/>
    </w:tblGrid>
    <w:tr w:rsidR="00FA65F7" w14:paraId="111FF3E4" w14:textId="77777777" w:rsidTr="004B2F0A">
      <w:trPr>
        <w:trHeight w:val="454"/>
      </w:trPr>
      <w:tc>
        <w:tcPr>
          <w:tcW w:w="2361" w:type="dxa"/>
          <w:vMerge w:val="restart"/>
          <w:vAlign w:val="center"/>
        </w:tcPr>
        <w:p w14:paraId="43D6E873" w14:textId="77777777" w:rsidR="00FA65F7" w:rsidRDefault="00FA65F7">
          <w:pPr>
            <w:rPr>
              <w:sz w:val="16"/>
              <w:szCs w:val="16"/>
            </w:rPr>
          </w:pPr>
        </w:p>
      </w:tc>
      <w:tc>
        <w:tcPr>
          <w:tcW w:w="4235" w:type="dxa"/>
          <w:vAlign w:val="center"/>
        </w:tcPr>
        <w:p w14:paraId="26A069FB" w14:textId="77777777" w:rsidR="00FA65F7" w:rsidRDefault="00D62B5D">
          <w:pPr>
            <w:jc w:val="center"/>
            <w:rPr>
              <w:sz w:val="18"/>
              <w:szCs w:val="18"/>
            </w:rPr>
          </w:pPr>
          <w:r>
            <w:rPr>
              <w:sz w:val="18"/>
              <w:szCs w:val="18"/>
            </w:rPr>
            <w:t>PROCESO GESTIÓN NORMATIVA</w:t>
          </w:r>
        </w:p>
      </w:tc>
      <w:tc>
        <w:tcPr>
          <w:tcW w:w="2234" w:type="dxa"/>
          <w:vAlign w:val="center"/>
        </w:tcPr>
        <w:p w14:paraId="730E92BB" w14:textId="77777777" w:rsidR="00FA65F7" w:rsidRDefault="00D62B5D">
          <w:pPr>
            <w:rPr>
              <w:sz w:val="16"/>
              <w:szCs w:val="16"/>
            </w:rPr>
          </w:pPr>
          <w:r>
            <w:rPr>
              <w:sz w:val="16"/>
              <w:szCs w:val="16"/>
            </w:rPr>
            <w:t>CÓDIGO</w:t>
          </w:r>
          <w:r>
            <w:rPr>
              <w:color w:val="3366FF"/>
              <w:sz w:val="16"/>
              <w:szCs w:val="16"/>
            </w:rPr>
            <w:t xml:space="preserve">: </w:t>
          </w:r>
          <w:r>
            <w:rPr>
              <w:sz w:val="16"/>
              <w:szCs w:val="16"/>
            </w:rPr>
            <w:t>GNV-FO-001</w:t>
          </w:r>
        </w:p>
      </w:tc>
    </w:tr>
    <w:tr w:rsidR="00FA65F7" w14:paraId="239B0691" w14:textId="77777777" w:rsidTr="004B2F0A">
      <w:trPr>
        <w:trHeight w:val="454"/>
      </w:trPr>
      <w:tc>
        <w:tcPr>
          <w:tcW w:w="2361" w:type="dxa"/>
          <w:vMerge/>
          <w:vAlign w:val="center"/>
        </w:tcPr>
        <w:p w14:paraId="11DC314C" w14:textId="77777777" w:rsidR="00FA65F7" w:rsidRDefault="00FA65F7">
          <w:pPr>
            <w:widowControl w:val="0"/>
            <w:pBdr>
              <w:top w:val="nil"/>
              <w:left w:val="nil"/>
              <w:bottom w:val="nil"/>
              <w:right w:val="nil"/>
              <w:between w:val="nil"/>
            </w:pBdr>
            <w:spacing w:line="276" w:lineRule="auto"/>
            <w:rPr>
              <w:sz w:val="16"/>
              <w:szCs w:val="16"/>
            </w:rPr>
          </w:pPr>
        </w:p>
      </w:tc>
      <w:tc>
        <w:tcPr>
          <w:tcW w:w="4235" w:type="dxa"/>
          <w:vMerge w:val="restart"/>
          <w:vAlign w:val="center"/>
        </w:tcPr>
        <w:p w14:paraId="475BDE51" w14:textId="77777777" w:rsidR="00FA65F7" w:rsidRDefault="00D62B5D">
          <w:pPr>
            <w:jc w:val="center"/>
            <w:rPr>
              <w:sz w:val="20"/>
              <w:szCs w:val="20"/>
            </w:rPr>
          </w:pPr>
          <w:r>
            <w:rPr>
              <w:sz w:val="20"/>
              <w:szCs w:val="20"/>
            </w:rPr>
            <w:t>PRESENTACIÓN PROYECTOS DE ACUERDO</w:t>
          </w:r>
        </w:p>
      </w:tc>
      <w:tc>
        <w:tcPr>
          <w:tcW w:w="2234" w:type="dxa"/>
          <w:vAlign w:val="center"/>
        </w:tcPr>
        <w:p w14:paraId="2A6C9BA0" w14:textId="77777777" w:rsidR="00FA65F7" w:rsidRDefault="00D62B5D">
          <w:pPr>
            <w:rPr>
              <w:sz w:val="16"/>
              <w:szCs w:val="16"/>
            </w:rPr>
          </w:pPr>
          <w:r>
            <w:rPr>
              <w:sz w:val="16"/>
              <w:szCs w:val="16"/>
            </w:rPr>
            <w:t>VERSIÓN:    02</w:t>
          </w:r>
        </w:p>
      </w:tc>
    </w:tr>
    <w:tr w:rsidR="00FA65F7" w14:paraId="4F4E6293" w14:textId="77777777" w:rsidTr="004B2F0A">
      <w:trPr>
        <w:trHeight w:val="454"/>
      </w:trPr>
      <w:tc>
        <w:tcPr>
          <w:tcW w:w="2361" w:type="dxa"/>
          <w:vMerge/>
          <w:vAlign w:val="center"/>
        </w:tcPr>
        <w:p w14:paraId="0D57C06C" w14:textId="77777777" w:rsidR="00FA65F7" w:rsidRDefault="00FA65F7">
          <w:pPr>
            <w:widowControl w:val="0"/>
            <w:pBdr>
              <w:top w:val="nil"/>
              <w:left w:val="nil"/>
              <w:bottom w:val="nil"/>
              <w:right w:val="nil"/>
              <w:between w:val="nil"/>
            </w:pBdr>
            <w:spacing w:line="276" w:lineRule="auto"/>
            <w:rPr>
              <w:sz w:val="16"/>
              <w:szCs w:val="16"/>
            </w:rPr>
          </w:pPr>
        </w:p>
      </w:tc>
      <w:tc>
        <w:tcPr>
          <w:tcW w:w="4235" w:type="dxa"/>
          <w:vMerge/>
          <w:vAlign w:val="center"/>
        </w:tcPr>
        <w:p w14:paraId="7A7D973E" w14:textId="77777777" w:rsidR="00FA65F7" w:rsidRDefault="00FA65F7">
          <w:pPr>
            <w:widowControl w:val="0"/>
            <w:pBdr>
              <w:top w:val="nil"/>
              <w:left w:val="nil"/>
              <w:bottom w:val="nil"/>
              <w:right w:val="nil"/>
              <w:between w:val="nil"/>
            </w:pBdr>
            <w:spacing w:line="276" w:lineRule="auto"/>
            <w:rPr>
              <w:sz w:val="16"/>
              <w:szCs w:val="16"/>
            </w:rPr>
          </w:pPr>
        </w:p>
      </w:tc>
      <w:tc>
        <w:tcPr>
          <w:tcW w:w="2234" w:type="dxa"/>
          <w:vAlign w:val="center"/>
        </w:tcPr>
        <w:p w14:paraId="3F202594" w14:textId="77777777" w:rsidR="00FA65F7" w:rsidRDefault="00D62B5D">
          <w:pPr>
            <w:rPr>
              <w:sz w:val="16"/>
              <w:szCs w:val="16"/>
            </w:rPr>
          </w:pPr>
          <w:r>
            <w:rPr>
              <w:sz w:val="16"/>
              <w:szCs w:val="16"/>
            </w:rPr>
            <w:t>FECHA:  14-Nov-2019</w:t>
          </w:r>
        </w:p>
      </w:tc>
    </w:tr>
  </w:tbl>
  <w:p w14:paraId="0D288A01" w14:textId="77777777" w:rsidR="00FA65F7" w:rsidRDefault="00D62B5D">
    <w:pPr>
      <w:tabs>
        <w:tab w:val="center" w:pos="4252"/>
        <w:tab w:val="right" w:pos="8504"/>
      </w:tabs>
      <w:spacing w:line="276" w:lineRule="auto"/>
      <w:jc w:val="both"/>
    </w:pPr>
    <w:r>
      <w:rPr>
        <w:noProof/>
        <w:lang w:val="es-CO"/>
      </w:rPr>
      <w:drawing>
        <wp:anchor distT="0" distB="0" distL="0" distR="0" simplePos="0" relativeHeight="251658240" behindDoc="1" locked="0" layoutInCell="1" hidden="0" allowOverlap="1" wp14:anchorId="74C3F506" wp14:editId="1C9BEA62">
          <wp:simplePos x="0" y="0"/>
          <wp:positionH relativeFrom="column">
            <wp:posOffset>441325</wp:posOffset>
          </wp:positionH>
          <wp:positionV relativeFrom="paragraph">
            <wp:posOffset>-890263</wp:posOffset>
          </wp:positionV>
          <wp:extent cx="752475" cy="885825"/>
          <wp:effectExtent l="0" t="0" r="0" b="0"/>
          <wp:wrapNone/>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82948"/>
    <w:multiLevelType w:val="multilevel"/>
    <w:tmpl w:val="D69A8B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EAD060A"/>
    <w:multiLevelType w:val="multilevel"/>
    <w:tmpl w:val="A5564E6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5F7"/>
    <w:rsid w:val="001B0F7D"/>
    <w:rsid w:val="003F3EF7"/>
    <w:rsid w:val="004B2F0A"/>
    <w:rsid w:val="004C1F48"/>
    <w:rsid w:val="006D74E6"/>
    <w:rsid w:val="006F1F71"/>
    <w:rsid w:val="00863A90"/>
    <w:rsid w:val="00934894"/>
    <w:rsid w:val="009757B0"/>
    <w:rsid w:val="009E5CAA"/>
    <w:rsid w:val="009F3DCF"/>
    <w:rsid w:val="00A06F99"/>
    <w:rsid w:val="00BE459C"/>
    <w:rsid w:val="00C302D4"/>
    <w:rsid w:val="00D62B5D"/>
    <w:rsid w:val="00F32CAA"/>
    <w:rsid w:val="00F54357"/>
    <w:rsid w:val="00FA65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F56A5"/>
  <w15:docId w15:val="{D3A95253-FCDB-4CF8-B20E-86C7D726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CellMar>
        <w:left w:w="70" w:type="dxa"/>
        <w:right w:w="70" w:type="dxa"/>
      </w:tblCellMar>
    </w:tblPr>
  </w:style>
  <w:style w:type="paragraph" w:styleId="Textonotapie">
    <w:name w:val="footnote text"/>
    <w:basedOn w:val="Normal"/>
    <w:link w:val="TextonotapieCar"/>
    <w:uiPriority w:val="99"/>
    <w:semiHidden/>
    <w:unhideWhenUsed/>
    <w:rsid w:val="003D057F"/>
    <w:rPr>
      <w:sz w:val="20"/>
      <w:szCs w:val="20"/>
    </w:rPr>
  </w:style>
  <w:style w:type="character" w:customStyle="1" w:styleId="TextonotapieCar">
    <w:name w:val="Texto nota pie Car"/>
    <w:basedOn w:val="Fuentedeprrafopredeter"/>
    <w:link w:val="Textonotapie"/>
    <w:uiPriority w:val="99"/>
    <w:semiHidden/>
    <w:rsid w:val="003D057F"/>
    <w:rPr>
      <w:color w:val="000000"/>
      <w:sz w:val="20"/>
      <w:szCs w:val="20"/>
    </w:rPr>
  </w:style>
  <w:style w:type="character" w:styleId="Refdenotaalpie">
    <w:name w:val="footnote reference"/>
    <w:basedOn w:val="Fuentedeprrafopredeter"/>
    <w:uiPriority w:val="99"/>
    <w:semiHidden/>
    <w:unhideWhenUsed/>
    <w:rsid w:val="003D057F"/>
    <w:rPr>
      <w:vertAlign w:val="superscript"/>
    </w:rPr>
  </w:style>
  <w:style w:type="character" w:customStyle="1" w:styleId="Mencinsinresolver1">
    <w:name w:val="Mención sin resolver1"/>
    <w:basedOn w:val="Fuentedeprrafopredeter"/>
    <w:uiPriority w:val="99"/>
    <w:semiHidden/>
    <w:unhideWhenUsed/>
    <w:rsid w:val="003D057F"/>
    <w:rPr>
      <w:color w:val="605E5C"/>
      <w:shd w:val="clear" w:color="auto" w:fill="E1DFDD"/>
    </w:rPr>
  </w:style>
  <w:style w:type="character" w:customStyle="1" w:styleId="Mencinsinresolver2">
    <w:name w:val="Mención sin resolver2"/>
    <w:basedOn w:val="Fuentedeprrafopredeter"/>
    <w:uiPriority w:val="99"/>
    <w:semiHidden/>
    <w:unhideWhenUsed/>
    <w:rsid w:val="00C22340"/>
    <w:rPr>
      <w:color w:val="605E5C"/>
      <w:shd w:val="clear" w:color="auto" w:fill="E1DFDD"/>
    </w:rPr>
  </w:style>
  <w:style w:type="character" w:styleId="Textoennegrita">
    <w:name w:val="Strong"/>
    <w:basedOn w:val="Fuentedeprrafopredeter"/>
    <w:uiPriority w:val="22"/>
    <w:qFormat/>
    <w:rsid w:val="00C22340"/>
    <w:rPr>
      <w:b/>
      <w:bCs/>
    </w:rPr>
  </w:style>
  <w:style w:type="table" w:customStyle="1" w:styleId="a0">
    <w:basedOn w:val="TableNormal4"/>
    <w:tblPr>
      <w:tblStyleRowBandSize w:val="1"/>
      <w:tblStyleColBandSize w:val="1"/>
      <w:tblCellMar>
        <w:left w:w="70" w:type="dxa"/>
        <w:right w:w="70" w:type="dxa"/>
      </w:tblCellMar>
    </w:tblPr>
  </w:style>
  <w:style w:type="paragraph" w:styleId="NormalWeb">
    <w:name w:val="Normal (Web)"/>
    <w:basedOn w:val="Normal"/>
    <w:uiPriority w:val="99"/>
    <w:unhideWhenUsed/>
    <w:rsid w:val="00410FD8"/>
    <w:pPr>
      <w:spacing w:before="100" w:beforeAutospacing="1" w:after="100" w:afterAutospacing="1"/>
    </w:pPr>
    <w:rPr>
      <w:rFonts w:ascii="Times New Roman" w:eastAsia="Times New Roman" w:hAnsi="Times New Roman" w:cs="Times New Roman"/>
      <w:color w:val="auto"/>
      <w:lang w:val="es-CO"/>
    </w:rPr>
  </w:style>
  <w:style w:type="table" w:customStyle="1" w:styleId="a1">
    <w:basedOn w:val="TableNormal3"/>
    <w:tblPr>
      <w:tblStyleRowBandSize w:val="1"/>
      <w:tblStyleColBandSize w:val="1"/>
      <w:tblCellMar>
        <w:left w:w="70" w:type="dxa"/>
        <w:right w:w="70" w:type="dxa"/>
      </w:tblCellMar>
    </w:tblPr>
  </w:style>
  <w:style w:type="table" w:customStyle="1" w:styleId="a2">
    <w:basedOn w:val="TableNormal2"/>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character" w:customStyle="1" w:styleId="UnresolvedMention">
    <w:name w:val="Unresolved Mention"/>
    <w:basedOn w:val="Fuentedeprrafopredeter"/>
    <w:uiPriority w:val="99"/>
    <w:semiHidden/>
    <w:unhideWhenUsed/>
    <w:rsid w:val="006D7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451496">
      <w:bodyDiv w:val="1"/>
      <w:marLeft w:val="0"/>
      <w:marRight w:val="0"/>
      <w:marTop w:val="0"/>
      <w:marBottom w:val="0"/>
      <w:divBdr>
        <w:top w:val="none" w:sz="0" w:space="0" w:color="auto"/>
        <w:left w:val="none" w:sz="0" w:space="0" w:color="auto"/>
        <w:bottom w:val="none" w:sz="0" w:space="0" w:color="auto"/>
        <w:right w:val="none" w:sz="0" w:space="0" w:color="auto"/>
      </w:divBdr>
    </w:div>
    <w:div w:id="1899435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analitica.scj.gov.co/analytics/saw.dll?Portal" TargetMode="External"/><Relationship Id="rId7" Type="http://schemas.openxmlformats.org/officeDocument/2006/relationships/hyperlink" Target="https://www.boe.es/buscar/act.php?id=BOE-A-2022-14630" TargetMode="External"/><Relationship Id="rId2" Type="http://schemas.openxmlformats.org/officeDocument/2006/relationships/hyperlink" Target="https://analitica.scj.gov.co/analytics/saw.dll?Portal" TargetMode="External"/><Relationship Id="rId1" Type="http://schemas.openxmlformats.org/officeDocument/2006/relationships/hyperlink" Target="https://www.ins.gov.co/Noticias/Paginas/75,6-de-los-casos-registrados-por-violencia-de-g%C3%A9nero-en-2024-son-contra-mujeres.aspx" TargetMode="External"/><Relationship Id="rId6" Type="http://schemas.openxmlformats.org/officeDocument/2006/relationships/hyperlink" Target="https://www.boe.es/buscar/act.php?id=BOE-A-2004-21760" TargetMode="External"/><Relationship Id="rId5" Type="http://schemas.openxmlformats.org/officeDocument/2006/relationships/hyperlink" Target="https://www.semana.com/nacion/articulo/planton-en-los-juzgados-de-paloquemao-para-exigir-avances-en-investigacion-del-cartel-de-la-infancia/202258/" TargetMode="External"/><Relationship Id="rId4" Type="http://schemas.openxmlformats.org/officeDocument/2006/relationships/hyperlink" Target="file:///C:\Users\catalina\Downloads\Justificacion%20FNCVV-COL%20-%202024_proyectodeley052Congreso_289Senado%20(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x7pYEg3uKxFj5BtF7YerK8x2g==">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4321</Words>
  <Characters>23768</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CLAUDIA TERESA SUAREZ NIÑO</cp:lastModifiedBy>
  <cp:revision>5</cp:revision>
  <dcterms:created xsi:type="dcterms:W3CDTF">2025-07-25T16:27:00Z</dcterms:created>
  <dcterms:modified xsi:type="dcterms:W3CDTF">2025-11-01T17:54:00Z</dcterms:modified>
</cp:coreProperties>
</file>